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r>
        <w:rPr>
          <w:lang w:val="pt_PT" w:bidi="pt_PT"/>
        </w:rPr>
        <w:t>Ed 1.1–11</w:t>
      </w:r>
      <w:r>
        <w:rPr>
          <w:lang w:val="pt_PT" w:bidi="pt_PT"/>
        </w:rPr>
        <w:t>). Os primeiros emigrantes a retornar a Jerusalém foram liderados por Sesbazar, o primeiro governador da comunidade restaurada (</w:t>
      </w:r>
      <w:r>
        <w:rPr>
          <w:lang w:val="pt_PT" w:bidi="pt_PT"/>
        </w:rPr>
        <w:t>Ed 1.5–11</w:t>
      </w:r>
      <w:r>
        <w:rPr>
          <w:lang w:val="pt_PT" w:bidi="pt_PT"/>
        </w:rPr>
        <w:t>). Com entusiasmo, os exilados que retornaram logo começaram a reconstruir o altar e o Templo (</w:t>
      </w:r>
      <w:r>
        <w:rPr>
          <w:lang w:val="pt_PT" w:bidi="pt_PT"/>
        </w:rPr>
        <w:t>Ed 3.1–13</w:t>
      </w:r>
      <w:r>
        <w:rPr>
          <w:lang w:val="pt_PT" w:bidi="pt_PT"/>
        </w:rPr>
        <w:t>), mas os residentes pagãos locais ameaçaram os israelitas e os desencorajaram de seu trabalho dado por Deus (</w:t>
      </w:r>
      <w:r>
        <w:rPr>
          <w:lang w:val="pt_PT" w:bidi="pt_PT"/>
        </w:rPr>
        <w:t>Ed 4.4–24</w:t>
      </w:r>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r>
        <w:rPr>
          <w:lang w:val="pt_PT" w:bidi="pt_PT"/>
        </w:rPr>
        <w:t>Ag 1.11</w:t>
      </w:r>
      <w:r>
        <w:rPr>
          <w:lang w:val="pt_PT" w:bidi="pt_PT"/>
        </w:rPr>
        <w:t>). Deus o enviou para motivar os israelitas a reconstruir o Templo de Deus e para encorajar a renovação espiritual do povo de Jerusalém. Em resposta, o povo retomou a reconstrução (</w:t>
      </w:r>
      <w:r>
        <w:rPr>
          <w:lang w:val="pt_PT" w:bidi="pt_PT"/>
        </w:rPr>
        <w:t>1.14</w:t>
      </w:r>
      <w:r>
        <w:rPr>
          <w:lang w:val="pt_PT" w:bidi="pt_PT"/>
        </w:rPr>
        <w:t xml:space="preserve">), e o projeto foi concluído em março de 515 a.C. (veja </w:t>
      </w:r>
      <w:r>
        <w:rPr>
          <w:lang w:val="pt_PT" w:bidi="pt_PT"/>
        </w:rPr>
        <w:t>Ed 6.15</w:t>
      </w:r>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r>
        <w:rPr>
          <w:lang w:val="pt_PT" w:bidi="pt_PT"/>
        </w:rPr>
        <w:t>cap. 1</w:t>
      </w:r>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r>
        <w:rPr>
          <w:lang w:val="pt_PT" w:bidi="pt_PT"/>
        </w:rPr>
        <w:t>2.1–9</w:t>
      </w:r>
      <w:r>
        <w:rPr>
          <w:lang w:val="pt_PT" w:bidi="pt_PT"/>
        </w:rPr>
        <w:t>) assegurou à comunidade que Deus não havia esquecido as promessas de bênção e restauração feitas pelos profetas anteriores. A glória do Senhor encheria mais uma vez o Templo (</w:t>
      </w:r>
      <w:r>
        <w:rPr>
          <w:lang w:val="pt_PT" w:bidi="pt_PT"/>
        </w:rPr>
        <w:t>2.7</w:t>
      </w:r>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r>
        <w:rPr>
          <w:lang w:val="pt_PT" w:bidi="pt_PT"/>
        </w:rPr>
        <w:t>2.10–19</w:t>
      </w:r>
      <w:r>
        <w:rPr>
          <w:lang w:val="pt_PT" w:bidi="pt_PT"/>
        </w:rPr>
        <w:t xml:space="preserve">) tem a pureza ritual como seu tema dominante. Ageu lembrou seu público de que as instruções da lei de Moisés ainda estavam em vigor. Deus espera que seu povo seja santo, assim como Ele é santo (veja </w:t>
      </w:r>
      <w:r>
        <w:rPr>
          <w:lang w:val="pt_PT" w:bidi="pt_PT"/>
        </w:rPr>
        <w:t>Lv 11.44–45</w:t>
      </w:r>
      <w:r>
        <w:rPr>
          <w:lang w:val="pt_PT" w:bidi="pt_PT"/>
        </w:rPr>
        <w:t>).</w:t>
      </w:r>
    </w:p>
    <w:p>
      <w:pPr/>
      <w:r>
        <w:rPr>
          <w:lang w:val="pt_PT" w:bidi="pt_PT"/>
        </w:rPr>
      </w:r>
      <w:r>
        <w:rPr>
          <w:lang w:val="pt_PT" w:bidi="pt_PT"/>
        </w:rPr>
        <w:t>A mensagem final e talvez mais importante de Ageu (</w:t>
      </w:r>
      <w:r>
        <w:rPr>
          <w:lang w:val="pt_PT" w:bidi="pt_PT"/>
        </w:rPr>
        <w:t>Ag 2.20–23</w:t>
      </w:r>
      <w:r>
        <w:rPr>
          <w:lang w:val="pt_PT" w:bidi="pt_PT"/>
        </w:rPr>
        <w:t xml:space="preserve">) reafirmou a proeminência dos descendentes do Rei Davi na vida religiosa e política de Israel. A dinastia de Davi foi crucial para a restauração do povo hebreu após o Exílio Babilônico (veja </w:t>
      </w:r>
      <w:r>
        <w:rPr>
          <w:lang w:val="pt_PT" w:bidi="pt_PT"/>
        </w:rPr>
        <w:t>Jr 23.5</w:t>
      </w:r>
      <w:r>
        <w:rPr>
          <w:lang w:val="pt_PT" w:bidi="pt_PT"/>
        </w:rPr>
        <w:t xml:space="preserve">; </w:t>
      </w:r>
      <w:r>
        <w:rPr>
          <w:lang w:val="pt_PT" w:bidi="pt_PT"/>
        </w:rPr>
        <w:t>33.15</w:t>
      </w:r>
      <w:r>
        <w:rPr>
          <w:lang w:val="pt_PT" w:bidi="pt_PT"/>
        </w:rPr>
        <w:t xml:space="preserve">; </w:t>
      </w:r>
      <w:r>
        <w:rPr>
          <w:lang w:val="pt_PT" w:bidi="pt_PT"/>
        </w:rPr>
        <w:t>Ez 37.24</w:t>
      </w:r>
      <w:r>
        <w:rPr>
          <w:lang w:val="pt_PT" w:bidi="pt_PT"/>
        </w:rPr>
        <w:t>). Zorobabel era um descendente do Rei Davi; sua designação para servir como o "anel de sinete" do Senhor marcou o início da restauração de Israel por Deus (</w:t>
      </w:r>
      <w:r>
        <w:rPr>
          <w:lang w:val="pt_PT" w:bidi="pt_PT"/>
        </w:rPr>
        <w:t>Ag 2.23</w:t>
      </w:r>
      <w:r>
        <w:rPr>
          <w:lang w:val="pt_PT" w:bidi="pt_PT"/>
        </w:rPr>
        <w:t xml:space="preserve">; cp. </w:t>
      </w:r>
      <w:r>
        <w:rPr>
          <w:lang w:val="pt_PT" w:bidi="pt_PT"/>
        </w:rPr>
        <w:t>Jr 22.24</w:t>
      </w:r>
      <w:r>
        <w:rPr>
          <w:lang w:val="pt_PT" w:bidi="pt_PT"/>
        </w:rPr>
        <w:t>) e apontou para Jesus Cristo, um descendente de Davi (</w:t>
      </w:r>
      <w:r>
        <w:rPr>
          <w:lang w:val="pt_PT" w:bidi="pt_PT"/>
        </w:rPr>
        <w:t>Mt 1.1</w:t>
      </w:r>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r>
        <w:rPr>
          <w:lang w:val="pt_PT" w:bidi="pt_PT"/>
        </w:rPr>
        <w:t>1.1</w:t>
      </w:r>
      <w:r>
        <w:rPr>
          <w:lang w:val="pt_PT" w:bidi="pt_PT"/>
        </w:rPr>
        <w:t>,</w:t>
      </w:r>
      <w:r>
        <w:rPr>
          <w:lang w:val="pt_PT" w:bidi="pt_PT"/>
        </w:rPr>
        <w:t>3</w:t>
      </w:r>
      <w:r>
        <w:rPr>
          <w:lang w:val="pt_PT" w:bidi="pt_PT"/>
        </w:rPr>
        <w:t xml:space="preserve">). A Bíblia não fornece informações biográficas sobre o profeta Ageu, mas seu ministério é confirmado por </w:t>
      </w:r>
      <w:r>
        <w:rPr>
          <w:lang w:val="pt_PT" w:bidi="pt_PT"/>
        </w:rPr>
        <w:t>Ed 6.14</w:t>
      </w:r>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r>
        <w:rPr>
          <w:lang w:val="pt_PT" w:bidi="pt_PT"/>
        </w:rPr>
        <w:t>Ag 1.1</w:t>
      </w:r>
      <w:r>
        <w:rPr>
          <w:lang w:val="pt_PT" w:bidi="pt_PT"/>
        </w:rPr>
        <w:t>,</w:t>
      </w:r>
      <w:r>
        <w:rPr>
          <w:lang w:val="pt_PT" w:bidi="pt_PT"/>
        </w:rPr>
        <w:t>15</w:t>
      </w:r>
      <w:r>
        <w:rPr>
          <w:lang w:val="pt_PT" w:bidi="pt_PT"/>
        </w:rPr>
        <w:t xml:space="preserve">; </w:t>
      </w:r>
      <w:r>
        <w:rPr>
          <w:lang w:val="pt_PT" w:bidi="pt_PT"/>
        </w:rPr>
        <w:t>2.1</w:t>
      </w:r>
      <w:r>
        <w:rPr>
          <w:lang w:val="pt_PT" w:bidi="pt_PT"/>
        </w:rPr>
        <w:t>,</w:t>
      </w:r>
      <w:r>
        <w:rPr>
          <w:lang w:val="pt_PT" w:bidi="pt_PT"/>
        </w:rPr>
        <w:t>10</w:t>
      </w:r>
      <w:r>
        <w:rPr>
          <w:lang w:val="pt_PT" w:bidi="pt_PT"/>
        </w:rPr>
        <w:t xml:space="preserve">). O ministério de Ageu na Judeia pós-exílica coincidiu com o de Zacarias, que começou a pregar em Jerusalém em novembro daquele ano (veja </w:t>
      </w:r>
      <w:r>
        <w:rPr>
          <w:lang w:val="pt_PT" w:bidi="pt_PT"/>
        </w:rPr>
        <w:t>Zc 1.1</w:t>
      </w:r>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r>
        <w:rPr>
          <w:lang w:val="pt_PT" w:bidi="pt_PT"/>
        </w:rPr>
        <w:t>1.4</w:t>
      </w:r>
      <w:r>
        <w:rPr>
          <w:lang w:val="pt_PT" w:bidi="pt_PT"/>
        </w:rPr>
        <w:t xml:space="preserve">; </w:t>
      </w:r>
      <w:r>
        <w:rPr>
          <w:lang w:val="pt_PT" w:bidi="pt_PT"/>
        </w:rPr>
        <w:t>2.3</w:t>
      </w:r>
      <w:r>
        <w:rPr>
          <w:lang w:val="pt_PT" w:bidi="pt_PT"/>
        </w:rPr>
        <w:t>,</w:t>
      </w:r>
      <w:r>
        <w:rPr>
          <w:lang w:val="pt_PT" w:bidi="pt_PT"/>
        </w:rPr>
        <w:t>19</w:t>
      </w:r>
      <w:r>
        <w:rPr>
          <w:lang w:val="pt_PT" w:bidi="pt_PT"/>
        </w:rPr>
        <w:t xml:space="preserve">). Ele repete palavras ou frases para definir o tom de seus sermões (por exemplo, o repetido “veja o que está acontecendo,” </w:t>
      </w:r>
      <w:r>
        <w:rPr>
          <w:lang w:val="pt_PT" w:bidi="pt_PT"/>
        </w:rPr>
        <w:t>1.5</w:t>
      </w:r>
      <w:r>
        <w:rPr>
          <w:lang w:val="pt_PT" w:bidi="pt_PT"/>
        </w:rPr>
        <w:t>,</w:t>
      </w:r>
      <w:r>
        <w:rPr>
          <w:lang w:val="pt_PT" w:bidi="pt_PT"/>
        </w:rPr>
        <w:t>7</w:t>
      </w:r>
      <w:r>
        <w:rPr>
          <w:lang w:val="pt_PT" w:bidi="pt_PT"/>
        </w:rPr>
        <w:t xml:space="preserve">; </w:t>
      </w:r>
      <w:r>
        <w:rPr>
          <w:lang w:val="pt_PT" w:bidi="pt_PT"/>
        </w:rPr>
        <w:t>2.15</w:t>
      </w:r>
      <w:r>
        <w:rPr>
          <w:lang w:val="pt_PT" w:bidi="pt_PT"/>
        </w:rPr>
        <w:t>), e ocasionalmente faz jogos de palavras (por exemplo, hebraico khareb, “ruínas” [</w:t>
      </w:r>
      <w:r>
        <w:rPr>
          <w:lang w:val="pt_PT" w:bidi="pt_PT"/>
        </w:rPr>
        <w:t>1.4</w:t>
      </w:r>
      <w:r>
        <w:rPr>
          <w:lang w:val="pt_PT" w:bidi="pt_PT"/>
        </w:rPr>
        <w:t>] e khoreb, “seca” [</w:t>
      </w:r>
      <w:r>
        <w:rPr>
          <w:lang w:val="pt_PT" w:bidi="pt_PT"/>
        </w:rPr>
        <w:t>1.11</w:t>
      </w:r>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r>
        <w:rPr>
          <w:lang w:val="pt_PT" w:bidi="pt_PT"/>
        </w:rPr>
        <w:t>1.1</w:t>
      </w:r>
      <w:r>
        <w:rPr>
          <w:lang w:val="pt_PT" w:bidi="pt_PT"/>
        </w:rPr>
        <w:t xml:space="preserve">; </w:t>
      </w:r>
      <w:r>
        <w:rPr>
          <w:lang w:val="pt_PT" w:bidi="pt_PT"/>
        </w:rPr>
        <w:t>2.1</w:t>
      </w:r>
      <w:r>
        <w:rPr>
          <w:lang w:val="pt_PT" w:bidi="pt_PT"/>
        </w:rPr>
        <w:t>,</w:t>
      </w:r>
      <w:r>
        <w:rPr>
          <w:lang w:val="pt_PT" w:bidi="pt_PT"/>
        </w:rPr>
        <w:t>10</w:t>
      </w:r>
      <w:r>
        <w:rPr>
          <w:lang w:val="pt_PT" w:bidi="pt_PT"/>
        </w:rPr>
        <w:t>,</w:t>
      </w:r>
      <w:r>
        <w:rPr>
          <w:lang w:val="pt_PT" w:bidi="pt_PT"/>
        </w:rPr>
        <w:t>20</w:t>
      </w:r>
      <w:r>
        <w:rPr>
          <w:lang w:val="pt_PT" w:bidi="pt_PT"/>
        </w:rPr>
        <w:t xml:space="preserve">), a fórmula de “mensagem” (“o Senhor deu/enviou uma mensagem,” </w:t>
      </w:r>
      <w:r>
        <w:rPr>
          <w:lang w:val="pt_PT" w:bidi="pt_PT"/>
        </w:rPr>
        <w:t>1.1</w:t>
      </w:r>
      <w:r>
        <w:rPr>
          <w:lang w:val="pt_PT" w:bidi="pt_PT"/>
        </w:rPr>
        <w:t xml:space="preserve">; </w:t>
      </w:r>
      <w:r>
        <w:rPr>
          <w:lang w:val="pt_PT" w:bidi="pt_PT"/>
        </w:rPr>
        <w:t>2.1</w:t>
      </w:r>
      <w:r>
        <w:rPr>
          <w:lang w:val="pt_PT" w:bidi="pt_PT"/>
        </w:rPr>
        <w:t>,</w:t>
      </w:r>
      <w:r>
        <w:rPr>
          <w:lang w:val="pt_PT" w:bidi="pt_PT"/>
        </w:rPr>
        <w:t>10</w:t>
      </w:r>
      <w:r>
        <w:rPr>
          <w:lang w:val="pt_PT" w:bidi="pt_PT"/>
        </w:rPr>
        <w:t>,</w:t>
      </w:r>
      <w:r>
        <w:rPr>
          <w:lang w:val="pt_PT" w:bidi="pt_PT"/>
        </w:rPr>
        <w:t>20</w:t>
      </w:r>
      <w:r>
        <w:rPr>
          <w:lang w:val="pt_PT" w:bidi="pt_PT"/>
        </w:rPr>
        <w:t xml:space="preserve">), a fórmula de “Deus-como-orador” (“diz o Senhor,” </w:t>
      </w:r>
      <w:r>
        <w:rPr>
          <w:lang w:val="pt_PT" w:bidi="pt_PT"/>
        </w:rPr>
        <w:t>1.7</w:t>
      </w:r>
      <w:r>
        <w:rPr>
          <w:lang w:val="pt_PT" w:bidi="pt_PT"/>
        </w:rPr>
        <w:t>,</w:t>
      </w:r>
      <w:r>
        <w:rPr>
          <w:lang w:val="pt_PT" w:bidi="pt_PT"/>
        </w:rPr>
        <w:t>13</w:t>
      </w:r>
      <w:r>
        <w:rPr>
          <w:lang w:val="pt_PT" w:bidi="pt_PT"/>
        </w:rPr>
        <w:t xml:space="preserve">; </w:t>
      </w:r>
      <w:r>
        <w:rPr>
          <w:lang w:val="pt_PT" w:bidi="pt_PT"/>
        </w:rPr>
        <w:t>2.4</w:t>
      </w:r>
      <w:r>
        <w:rPr>
          <w:lang w:val="pt_PT" w:bidi="pt_PT"/>
        </w:rPr>
        <w:t xml:space="preserve">), e a fórmula de “relacionamento de aliança” (“Eu estou com vocês,” </w:t>
      </w:r>
      <w:r>
        <w:rPr>
          <w:lang w:val="pt_PT" w:bidi="pt_PT"/>
        </w:rPr>
        <w:t>2.4–5</w:t>
      </w:r>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r>
        <w:rPr>
          <w:lang w:val="pt_PT" w:bidi="pt_PT"/>
        </w:rPr>
        <w:t>1.13–14</w:t>
      </w:r>
      <w:r>
        <w:rPr>
          <w:lang w:val="pt_PT" w:bidi="pt_PT"/>
        </w:rPr>
        <w:t xml:space="preserve">; </w:t>
      </w:r>
      <w:r>
        <w:rPr>
          <w:lang w:val="pt_PT" w:bidi="pt_PT"/>
        </w:rPr>
        <w:t>2.4–5</w:t>
      </w:r>
      <w:r>
        <w:rPr>
          <w:lang w:val="pt_PT" w:bidi="pt_PT"/>
        </w:rPr>
        <w:t>), um tema compartilhado com seu contemporâneo Zacarias (</w:t>
      </w:r>
      <w:r>
        <w:rPr>
          <w:lang w:val="pt_PT" w:bidi="pt_PT"/>
        </w:rPr>
        <w:t>Zc 1.16</w:t>
      </w:r>
      <w:r>
        <w:rPr>
          <w:lang w:val="pt_PT" w:bidi="pt_PT"/>
        </w:rPr>
        <w:t xml:space="preserve">; </w:t>
      </w:r>
      <w:r>
        <w:rPr>
          <w:lang w:val="pt_PT" w:bidi="pt_PT"/>
        </w:rPr>
        <w:t>8.23</w:t>
      </w:r>
      <w:r>
        <w:rPr>
          <w:lang w:val="pt_PT" w:bidi="pt_PT"/>
        </w:rPr>
        <w:t xml:space="preserve">; veja também </w:t>
      </w:r>
      <w:r>
        <w:rPr>
          <w:lang w:val="pt_PT" w:bidi="pt_PT"/>
        </w:rPr>
        <w:t>Ez 37.27–28</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