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r>
        <w:rPr>
          <w:lang w:val="es_ES" w:bidi="es_ES"/>
        </w:rPr>
        <w:t xml:space="preserve">2 Re 21:1–9, </w:t>
      </w:r>
      <w:r>
        <w:rPr>
          <w:lang w:val="es_ES" w:bidi="es_ES"/>
        </w:rPr>
        <w:t>2 Cro 33:2–9</w:t>
      </w:r>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r>
        <w:rPr>
          <w:lang w:val="es_ES" w:bidi="es_ES"/>
        </w:rPr>
        <w:t>2 Cro 33:15–19</w:t>
      </w:r>
      <w:r>
        <w:rPr>
          <w:lang w:val="es_ES" w:bidi="es_ES"/>
        </w:rPr>
        <w:t>) no resultaron en un cambio duradero, y su hijo Amón reintrodujo las prácticas paganas (</w:t>
      </w:r>
      <w:r>
        <w:rPr>
          <w:lang w:val="es_ES" w:bidi="es_ES"/>
        </w:rPr>
        <w:t>2 Re 21:21–22</w:t>
      </w:r>
      <w:r>
        <w:rPr>
          <w:lang w:val="es_ES" w:bidi="es_ES"/>
        </w:rPr>
        <w:t>). Los ministerios subsiguientes de profetas como Sofonías, Jeremías y Ezequiel, y los esfuerzos de reforma de Josías (</w:t>
      </w:r>
      <w:r>
        <w:rPr>
          <w:lang w:val="es_ES" w:bidi="es_ES"/>
        </w:rPr>
        <w:t>2 Cro 34:1, 35:19</w:t>
      </w:r>
      <w:r>
        <w:rPr>
          <w:lang w:val="es_ES" w:bidi="es_ES"/>
        </w:rPr>
        <w:t>) tampoco produjeron un cambio duradero. Los reyes posteriores de Judá fueron todos condenados por su maldad (</w:t>
      </w:r>
      <w:r>
        <w:rPr>
          <w:lang w:val="es_ES" w:bidi="es_ES"/>
        </w:rPr>
        <w:t>2 Re 23:32</w:t>
      </w:r>
      <w:r>
        <w:rPr>
          <w:lang w:val="es_ES" w:bidi="es_ES"/>
        </w:rPr>
        <w:t>,</w:t>
      </w:r>
      <w:r>
        <w:rPr>
          <w:lang w:val="es_ES" w:bidi="es_ES"/>
        </w:rPr>
        <w:t>37;</w:t>
      </w:r>
      <w:r>
        <w:rPr>
          <w:lang w:val="es_ES" w:bidi="es_ES"/>
        </w:rPr>
        <w:t xml:space="preserve"> </w:t>
      </w:r>
      <w:r>
        <w:rPr>
          <w:lang w:val="es_ES" w:bidi="es_ES"/>
        </w:rPr>
        <w:t>24:19,</w:t>
      </w:r>
      <w:r>
        <w:rPr>
          <w:lang w:val="es_ES" w:bidi="es_ES"/>
        </w:rPr>
        <w:t xml:space="preserve"> </w:t>
      </w:r>
      <w:r>
        <w:rPr>
          <w:lang w:val="es_ES" w:bidi="es_ES"/>
        </w:rPr>
        <w:t>Jr 22,</w:t>
      </w:r>
      <w:r>
        <w:rPr>
          <w:lang w:val="es_ES" w:bidi="es_ES"/>
        </w:rPr>
        <w:t xml:space="preserve"> </w:t>
      </w:r>
      <w:r>
        <w:rPr>
          <w:lang w:val="es_ES" w:bidi="es_ES"/>
        </w:rPr>
        <w:t>27:1–22;</w:t>
      </w:r>
      <w:r>
        <w:rPr>
          <w:lang w:val="es_ES" w:bidi="es_ES"/>
        </w:rPr>
        <w:t xml:space="preserve"> </w:t>
      </w:r>
      <w:r>
        <w:rPr>
          <w:lang w:val="es_ES" w:bidi="es_ES"/>
        </w:rPr>
        <w:t>36:30–31</w:t>
      </w:r>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r>
        <w:rPr>
          <w:lang w:val="es_ES" w:bidi="es_ES"/>
        </w:rPr>
        <w:t>Ha 1:2–4</w:t>
      </w:r>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r>
        <w:rPr>
          <w:lang w:val="es_ES" w:bidi="es_ES"/>
        </w:rPr>
        <w:t>1:2–4</w:t>
      </w:r>
      <w:r>
        <w:rPr>
          <w:lang w:val="es_ES" w:bidi="es_ES"/>
        </w:rPr>
        <w:t>). La primera respuesta de Dios es que está a punto de enfrentar la violencia de Judá trayendo a un pueblo aún más violento, los babilonios, para juzgarlos (</w:t>
      </w:r>
      <w:r>
        <w:rPr>
          <w:lang w:val="es_ES" w:bidi="es_ES"/>
        </w:rPr>
        <w:t>1:5–11</w:t>
      </w:r>
      <w:r>
        <w:rPr>
          <w:lang w:val="es_ES" w:bidi="es_ES"/>
        </w:rPr>
        <w:t>).</w:t>
      </w:r>
    </w:p>
    <w:p>
      <w:pPr/>
      <w:r>
        <w:rPr>
          <w:lang w:val="es_ES" w:bidi="es_ES"/>
        </w:rPr>
      </w:r>
      <w:r>
        <w:rPr>
          <w:lang w:val="es_ES" w:bidi="es_ES"/>
        </w:rPr>
        <w:t>Esta respuesta desconcierta aún más a Habacuc (</w:t>
      </w:r>
      <w:r>
        <w:rPr>
          <w:lang w:val="es_ES" w:bidi="es_ES"/>
        </w:rPr>
        <w:t>1:12–2:1</w:t>
      </w:r>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r>
        <w:rPr>
          <w:lang w:val="es_ES" w:bidi="es_ES"/>
        </w:rPr>
        <w:t>2:2–5</w:t>
      </w:r>
      <w:r>
        <w:rPr>
          <w:lang w:val="es_ES" w:bidi="es_ES"/>
        </w:rPr>
        <w:t>). Ambos fallaron en mantener los estándares de fe y moralidad de Dios, y ambos merecían el juicio divino. En una serie de cinco canciones de burla (</w:t>
      </w:r>
      <w:r>
        <w:rPr>
          <w:lang w:val="es_ES" w:bidi="es_ES"/>
        </w:rPr>
        <w:t>2:6–20</w:t>
      </w:r>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r>
        <w:rPr>
          <w:lang w:val="es_ES" w:bidi="es_ES"/>
        </w:rPr>
        <w:t>3:1–2</w:t>
      </w:r>
      <w:r>
        <w:rPr>
          <w:lang w:val="es_ES" w:bidi="es_ES"/>
        </w:rPr>
        <w:t>). Habacuc luego presenta un salmo de alabanza que refleja poéticamente el relato de la redención de su pueblo por parte de Dios durante el Éxodo (</w:t>
      </w:r>
      <w:r>
        <w:rPr>
          <w:lang w:val="es_ES" w:bidi="es_ES"/>
        </w:rPr>
        <w:t>3:3–15</w:t>
      </w:r>
      <w:r>
        <w:rPr>
          <w:lang w:val="es_ES" w:bidi="es_ES"/>
        </w:rPr>
        <w:t>). Habacuc concluye con una declaración de compromiso y una nota de alabanza (</w:t>
      </w:r>
      <w:r>
        <w:rPr>
          <w:lang w:val="es_ES" w:bidi="es_ES"/>
        </w:rPr>
        <w:t>3:16–19</w:t>
      </w:r>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r>
        <w:rPr>
          <w:lang w:val="es_ES" w:bidi="es_ES"/>
        </w:rPr>
        <w:t>3:1</w:t>
      </w:r>
      <w:r>
        <w:rPr>
          <w:lang w:val="es_ES" w:bidi="es_ES"/>
        </w:rPr>
        <w:t>,</w:t>
      </w:r>
      <w:r>
        <w:rPr>
          <w:lang w:val="es_ES" w:bidi="es_ES"/>
        </w:rPr>
        <w:t>3</w:t>
      </w:r>
      <w:r>
        <w:rPr>
          <w:lang w:val="es_ES" w:bidi="es_ES"/>
        </w:rPr>
        <w:t>,</w:t>
      </w:r>
      <w:r>
        <w:rPr>
          <w:lang w:val="es_ES" w:bidi="es_ES"/>
        </w:rPr>
        <w:t>9</w:t>
      </w:r>
      <w:r>
        <w:rPr>
          <w:lang w:val="es_ES" w:bidi="es_ES"/>
        </w:rPr>
        <w:t>,</w:t>
      </w:r>
      <w:r>
        <w:rPr>
          <w:lang w:val="es_ES" w:bidi="es_ES"/>
        </w:rPr>
        <w:t>13</w:t>
      </w:r>
      <w:r>
        <w:rPr>
          <w:lang w:val="es_ES" w:bidi="es_ES"/>
        </w:rPr>
        <w:t>,</w:t>
      </w:r>
      <w:r>
        <w:rPr>
          <w:lang w:val="es_ES" w:bidi="es_ES"/>
        </w:rPr>
        <w:t>19</w:t>
      </w:r>
      <w:r>
        <w:rPr>
          <w:lang w:val="es_ES" w:bidi="es_ES"/>
        </w:rPr>
        <w:t xml:space="preserve">); ya que los líderes de la música del Templo eran levitas (ver </w:t>
      </w:r>
      <w:r>
        <w:rPr>
          <w:lang w:val="es_ES" w:bidi="es_ES"/>
        </w:rPr>
        <w:t>1 Cro 6:31–47,</w:t>
      </w:r>
      <w:r>
        <w:rPr>
          <w:lang w:val="es_ES" w:bidi="es_ES"/>
        </w:rPr>
        <w:t xml:space="preserve"> </w:t>
      </w:r>
      <w:r>
        <w:rPr>
          <w:lang w:val="es_ES" w:bidi="es_ES"/>
        </w:rPr>
        <w:t>25:1–31</w:t>
      </w:r>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r>
        <w:rPr>
          <w:lang w:val="es_ES" w:bidi="es_ES"/>
        </w:rPr>
        <w:t>Ha 1:2–4</w:t>
      </w:r>
      <w:r>
        <w:rPr>
          <w:lang w:val="es_ES" w:bidi="es_ES"/>
        </w:rPr>
        <w:t>) y su enfoque en el Imperio Neo-Babilónico (</w:t>
      </w:r>
      <w:r>
        <w:rPr>
          <w:lang w:val="es_ES" w:bidi="es_ES"/>
        </w:rPr>
        <w:t>1:5–11,</w:t>
      </w:r>
      <w:r>
        <w:rPr>
          <w:lang w:val="es_ES" w:bidi="es_ES"/>
        </w:rPr>
        <w:t xml:space="preserve"> </w:t>
      </w:r>
      <w:r>
        <w:rPr>
          <w:lang w:val="es_ES" w:bidi="es_ES"/>
        </w:rPr>
        <w:t>2:6–20</w:t>
      </w:r>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r>
        <w:rPr>
          <w:lang w:val="es_ES" w:bidi="es_ES"/>
        </w:rPr>
        <w:t>2 Re 24:1–3</w:t>
      </w:r>
      <w:r>
        <w:rPr>
          <w:lang w:val="es_ES" w:bidi="es_ES"/>
        </w:rPr>
        <w:t>) provocaron tanto profecías condenatorias (</w:t>
      </w:r>
      <w:r>
        <w:rPr>
          <w:lang w:val="es_ES" w:bidi="es_ES"/>
        </w:rPr>
        <w:t>Jr 22:18–19;</w:t>
      </w:r>
      <w:r>
        <w:rPr>
          <w:lang w:val="es_ES" w:bidi="es_ES"/>
        </w:rPr>
        <w:t xml:space="preserve"> </w:t>
      </w:r>
      <w:r>
        <w:rPr>
          <w:lang w:val="es_ES" w:bidi="es_ES"/>
        </w:rPr>
        <w:t>26:3–6;</w:t>
      </w:r>
      <w:r>
        <w:rPr>
          <w:lang w:val="es_ES" w:bidi="es_ES"/>
        </w:rPr>
        <w:t xml:space="preserve"> </w:t>
      </w:r>
      <w:r>
        <w:rPr>
          <w:lang w:val="es_ES" w:bidi="es_ES"/>
        </w:rPr>
        <w:t>36:27–32</w:t>
      </w:r>
      <w:r>
        <w:rPr>
          <w:lang w:val="es_ES" w:bidi="es_ES"/>
        </w:rPr>
        <w:t>) como la amenaza de invasión babilónica (</w:t>
      </w:r>
      <w:r>
        <w:rPr>
          <w:lang w:val="es_ES" w:bidi="es_ES"/>
        </w:rPr>
        <w:t>Jr 25</w:t>
      </w:r>
      <w:r>
        <w:rPr>
          <w:lang w:val="es_ES" w:bidi="es_ES"/>
        </w:rPr>
        <w:t>). (2) Otros argumentan a favor de los primeros días de Josías (640–609 a. C.), quien, antes del descubrimiento del Libro de la Ley en 622 a. C., enfrentó una apostasía desenfrenada (</w:t>
      </w:r>
      <w:r>
        <w:rPr>
          <w:lang w:val="es_ES" w:bidi="es_ES"/>
        </w:rPr>
        <w:t>2 Cro 34:1–7</w:t>
      </w:r>
      <w:r>
        <w:rPr>
          <w:lang w:val="es_ES" w:bidi="es_ES"/>
        </w:rPr>
        <w:t>). (3) Algunos defienden la visión judía tradicional de que Habacuc vivió durante el reinado independiente de Manasés (686–642 a. C.), cuya maldad (</w:t>
      </w:r>
      <w:r>
        <w:rPr>
          <w:lang w:val="es_ES" w:bidi="es_ES"/>
        </w:rPr>
        <w:t>2 Re 21:16–17</w:t>
      </w:r>
      <w:r>
        <w:rPr>
          <w:lang w:val="es_ES" w:bidi="es_ES"/>
        </w:rPr>
        <w:t>) y la reinstauración del culto cananeo y ritos paganos (</w:t>
      </w:r>
      <w:r>
        <w:rPr>
          <w:lang w:val="es_ES" w:bidi="es_ES"/>
        </w:rPr>
        <w:t>2 Re 21:1–11,</w:t>
      </w:r>
      <w:r>
        <w:rPr>
          <w:lang w:val="es_ES" w:bidi="es_ES"/>
        </w:rPr>
        <w:t xml:space="preserve"> </w:t>
      </w:r>
      <w:r>
        <w:rPr>
          <w:lang w:val="es_ES" w:bidi="es_ES"/>
        </w:rPr>
        <w:t>2 Cro 33:1–9</w:t>
      </w:r>
      <w:r>
        <w:rPr>
          <w:lang w:val="es_ES" w:bidi="es_ES"/>
        </w:rPr>
        <w:t xml:space="preserve">, </w:t>
      </w:r>
      <w:r>
        <w:rPr>
          <w:lang w:val="es_ES" w:bidi="es_ES"/>
        </w:rPr>
        <w:t>19–20</w:t>
      </w:r>
      <w:r>
        <w:rPr>
          <w:lang w:val="es_ES" w:bidi="es_ES"/>
        </w:rPr>
        <w:t>) provocaron el pronunciamiento de Dios sobre la perdición de Judá (</w:t>
      </w:r>
      <w:r>
        <w:rPr>
          <w:lang w:val="es_ES" w:bidi="es_ES"/>
        </w:rPr>
        <w:t>2 Re 21:12–15</w:t>
      </w:r>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r>
        <w:rPr>
          <w:lang w:val="es_ES" w:bidi="es_ES"/>
        </w:rPr>
        <w:t>Ha 2:2–3</w:t>
      </w:r>
      <w:r>
        <w:rPr>
          <w:lang w:val="es_ES" w:bidi="es_ES"/>
        </w:rPr>
        <w:t xml:space="preserve">, </w:t>
      </w:r>
      <w:r>
        <w:rPr>
          <w:lang w:val="es_ES" w:bidi="es_ES"/>
        </w:rPr>
        <w:t>14</w:t>
      </w:r>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r>
        <w:rPr>
          <w:lang w:val="es_ES" w:bidi="es_ES"/>
        </w:rPr>
        <w:t>1 Jn 5:21</w:t>
      </w:r>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r>
        <w:rPr>
          <w:lang w:val="es_ES" w:bidi="es_ES"/>
        </w:rPr>
        <w:t>Ha 1:12,</w:t>
      </w:r>
      <w:r>
        <w:rPr>
          <w:lang w:val="es_ES" w:bidi="es_ES"/>
        </w:rPr>
        <w:t xml:space="preserve"> </w:t>
      </w:r>
      <w:r>
        <w:rPr>
          <w:lang w:val="es_ES" w:bidi="es_ES"/>
        </w:rPr>
        <w:t>2:4</w:t>
      </w:r>
      <w:r>
        <w:rPr>
          <w:lang w:val="es_ES" w:bidi="es_ES"/>
        </w:rPr>
        <w:t>). Aquellos que confían y sirven activamente a Dios podrán regocijarse en el Señor (</w:t>
      </w:r>
      <w:r>
        <w:rPr>
          <w:lang w:val="es_ES" w:bidi="es_ES"/>
        </w:rPr>
        <w:t>3:18,</w:t>
      </w:r>
      <w:r>
        <w:rPr>
          <w:lang w:val="es_ES" w:bidi="es_ES"/>
        </w:rPr>
        <w:t xml:space="preserve"> </w:t>
      </w:r>
      <w:r>
        <w:rPr>
          <w:lang w:val="es_ES" w:bidi="es_ES"/>
        </w:rPr>
        <w:t>Flm 4:4</w:t>
      </w:r>
      <w:r>
        <w:rPr>
          <w:lang w:val="es_ES" w:bidi="es_ES"/>
        </w:rPr>
        <w:t>) y vivir triunfantes en cualquier circunstancia (</w:t>
      </w:r>
      <w:r>
        <w:rPr>
          <w:lang w:val="es_ES" w:bidi="es_ES"/>
        </w:rPr>
        <w:t>Ha 2:20,</w:t>
      </w:r>
      <w:r>
        <w:rPr>
          <w:lang w:val="es_ES" w:bidi="es_ES"/>
        </w:rPr>
        <w:t xml:space="preserve"> </w:t>
      </w:r>
      <w:r>
        <w:rPr>
          <w:lang w:val="es_ES" w:bidi="es_ES"/>
        </w:rPr>
        <w:t>3:16–19,</w:t>
      </w:r>
      <w:r>
        <w:rPr>
          <w:lang w:val="es_ES" w:bidi="es_ES"/>
        </w:rPr>
        <w:t xml:space="preserve"> véase también </w:t>
      </w:r>
      <w:r>
        <w:rPr>
          <w:lang w:val="es_ES" w:bidi="es_ES"/>
        </w:rPr>
        <w:t>Ro 1:16–17, Ga 3:11,</w:t>
      </w:r>
      <w:r>
        <w:rPr>
          <w:lang w:val="es_ES" w:bidi="es_ES"/>
        </w:rPr>
        <w:t xml:space="preserve"> </w:t>
      </w:r>
      <w:r>
        <w:rPr>
          <w:lang w:val="es_ES" w:bidi="es_ES"/>
        </w:rPr>
        <w:t>Hb 10:35–39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