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w:t>
      </w:r>
      <w:r/>
    </w:p>
    <w:p>
      <w:r/>
      <w: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1"/>
      </w:pPr>
      <w:r>
        <w:t>Contexte</w:t>
      </w:r>
    </w:p>
    <w:p>
      <w:r/>
      <w: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5">
        <w:r>
          <w:rPr>
            <w:color w:val="0000EE"/>
            <w:u w:val="single"/>
          </w:rPr>
          <w:t>3.8–10</w:t>
        </w:r>
      </w:hyperlink>
      <w:r>
        <w:t>).</w:t>
      </w:r>
    </w:p>
    <w:p>
      <w:r/>
      <w: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6">
        <w:r>
          <w:rPr>
            <w:color w:val="0000EE"/>
            <w:u w:val="single"/>
          </w:rPr>
          <w:t>2Ch 33.10–11</w:t>
        </w:r>
      </w:hyperlink>
      <w:r>
        <w:t>). Après sa libération de captivité, Manassé, qui s’est repenti (</w:t>
      </w:r>
      <w:hyperlink r:id="rId17">
        <w:r>
          <w:rPr>
            <w:color w:val="0000EE"/>
            <w:u w:val="single"/>
          </w:rPr>
          <w:t>2Ch 33.12–17</w:t>
        </w:r>
      </w:hyperlink>
      <w:r>
        <w:t>), tente de réparer ses erreurs (</w:t>
      </w:r>
      <w:hyperlink r:id="rId18">
        <w:r>
          <w:rPr>
            <w:color w:val="0000EE"/>
            <w:u w:val="single"/>
          </w:rPr>
          <w:t>2R 21.1–18</w:t>
        </w:r>
      </w:hyperlink>
      <w:r>
        <w:t xml:space="preserve"> ; </w:t>
      </w:r>
      <w:hyperlink r:id="rId19">
        <w:r>
          <w:rPr>
            <w:color w:val="0000EE"/>
            <w:u w:val="single"/>
          </w:rPr>
          <w:t>2Ch 33.1–9</w:t>
        </w:r>
      </w:hyperlink>
      <w:r>
        <w:t>). Malgré ses efforts, ses mauvaises actions antérieures affectaient encore le pays. Le malheur planait sur le peuple de Dieu. Ainsi, les messages prophétiques de Nahum sur la chute de Ninive et l’espoir pour l’avenir de Juda sont arrivés au bon moment.</w:t>
      </w:r>
    </w:p>
    <w:p>
      <w:r/>
      <w: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1"/>
      </w:pPr>
      <w:r>
        <w:t>Résumé</w:t>
      </w:r>
    </w:p>
    <w:p>
      <w:r/>
      <w:r>
        <w:t xml:space="preserve">Nahum commence sa prophétie en décrivant la puissance de Dieu dans deux passages poétiques saisissants, aux versets </w:t>
      </w:r>
      <w:hyperlink r:id="rId20">
        <w:r>
          <w:rPr>
            <w:color w:val="0000EE"/>
            <w:u w:val="single"/>
          </w:rPr>
          <w:t>1.2–6</w:t>
        </w:r>
      </w:hyperlink>
      <w:r>
        <w:t xml:space="preserve"> et </w:t>
      </w:r>
      <w:hyperlink r:id="rId21">
        <w:r>
          <w:rPr>
            <w:color w:val="0000EE"/>
            <w:u w:val="single"/>
          </w:rPr>
          <w:t>1.7–11</w:t>
        </w:r>
      </w:hyperlink>
      <w:r>
        <w:t>. Ces poèmes illustrent le jugement souverain de Dieu contre la méchanceté, et sa bonté envers ceux qui placent leur confiance en lui. Les premiers versets assurent que Dieu administrera sa justice de manière équitable.</w:t>
      </w:r>
    </w:p>
    <w:p>
      <w:r/>
      <w:r>
        <w:t>Nahum explique ensuite ce que signifie la justice souveraine de Dieu au cours de l’histoire (</w:t>
      </w:r>
      <w:hyperlink r:id="rId22">
        <w:r>
          <w:rPr>
            <w:color w:val="0000EE"/>
            <w:u w:val="single"/>
          </w:rPr>
          <w:t>1.12–15</w:t>
        </w:r>
      </w:hyperlink>
      <w: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r/>
      <w:r>
        <w:t>Après avoir prédit le siège de Ninive et le retour des conditions normales dans Juda (</w:t>
      </w:r>
      <w:hyperlink r:id="rId23">
        <w:r>
          <w:rPr>
            <w:color w:val="0000EE"/>
            <w:u w:val="single"/>
          </w:rPr>
          <w:t>2.1–2</w:t>
        </w:r>
      </w:hyperlink>
      <w:r>
        <w:t>), Nahum décrit la chute de la capitale assyrienne dans deux descriptions poignantes (</w:t>
      </w:r>
      <w:hyperlink r:id="rId24">
        <w:r>
          <w:rPr>
            <w:color w:val="0000EE"/>
            <w:u w:val="single"/>
          </w:rPr>
          <w:t>2.3–10</w:t>
        </w:r>
      </w:hyperlink>
      <w:r>
        <w:t xml:space="preserve"> ; </w:t>
      </w:r>
      <w:hyperlink r:id="rId25">
        <w:r>
          <w:rPr>
            <w:color w:val="0000EE"/>
            <w:u w:val="single"/>
          </w:rPr>
          <w:t>3.1–7</w:t>
        </w:r>
      </w:hyperlink>
      <w:r>
        <w:t>). Entre les deux récits, Nahum contemple la destruction de Ninive dans une brève chanson moqueuse. Avec une satire mordante, il déclare l’intention de Dieu de mettre fin à la cupidité de la fière Ninive (</w:t>
      </w:r>
      <w:hyperlink r:id="rId26">
        <w:r>
          <w:rPr>
            <w:color w:val="0000EE"/>
            <w:u w:val="single"/>
          </w:rPr>
          <w:t>2.11–13</w:t>
        </w:r>
      </w:hyperlink>
      <w:r>
        <w:t>).</w:t>
      </w:r>
    </w:p>
    <w:p>
      <w:r/>
      <w:r>
        <w:t>Nahum développe sa deuxième description de la chute de Ninive par une autre satire de la ville. Ninive n’est pas plus défendable que la capitale de l’Égypte, Thèbes (</w:t>
      </w:r>
      <w:hyperlink r:id="rId27">
        <w:r>
          <w:rPr>
            <w:color w:val="0000EE"/>
            <w:u w:val="single"/>
          </w:rPr>
          <w:t>3.8–13</w:t>
        </w:r>
      </w:hyperlink>
      <w:r>
        <w:t>), détruite par l’Assyrie. Nahum termine sa prophétie par une satire (</w:t>
      </w:r>
      <w:hyperlink r:id="rId28">
        <w:r>
          <w:rPr>
            <w:color w:val="0000EE"/>
            <w:u w:val="single"/>
          </w:rPr>
          <w:t>3.14–19</w:t>
        </w:r>
      </w:hyperlink>
      <w: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1"/>
      </w:pPr>
      <w:r>
        <w:t>Auteur</w:t>
      </w:r>
    </w:p>
    <w:p>
      <w:r/>
      <w:r>
        <w:t>Les maigres informations disponibles dans ses écrits mises à part, nous ne savons rien de Nahum, auteur de cette courte prophétie. Dans le texte hébreu, il est identifié comme « Nahum d’Elkosch » (</w:t>
      </w:r>
      <w:hyperlink r:id="rId29">
        <w:r>
          <w:rPr>
            <w:color w:val="0000EE"/>
            <w:u w:val="single"/>
          </w:rPr>
          <w:t>1.1</w:t>
        </w:r>
      </w:hyperlink>
      <w:r>
        <w:t>). Le nom Elkosch peut désigner son clan, mais il peut aussi s’agir de sa ville natale, probablement située dans le sud-ouest de Juda. Les détails du livre montrent qu’il connaissait bien la ville de Ninive.</w:t>
      </w:r>
    </w:p>
    <w:p>
      <w:pPr>
        <w:pStyle w:val="Heading1"/>
      </w:pPr>
      <w:r>
        <w:t>Date</w:t>
      </w:r>
    </w:p>
    <w:p>
      <w:r/>
      <w:r>
        <w:t xml:space="preserve">Nahum mentionne la chute de Thèbes (663 av. J.‑C. ; </w:t>
      </w:r>
      <w:hyperlink r:id="rId30">
        <w:r>
          <w:rPr>
            <w:color w:val="0000EE"/>
            <w:u w:val="single"/>
          </w:rPr>
          <w:t>3.10</w:t>
        </w:r>
      </w:hyperlink>
      <w: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31">
        <w:r>
          <w:rPr>
            <w:color w:val="0000EE"/>
            <w:u w:val="single"/>
          </w:rPr>
          <w:t>2Ch 33.12–16</w:t>
        </w:r>
      </w:hyperlink>
      <w:r>
        <w:t>), ou plus tard, pendant la première partie ou au milieu du règne du roi juste Josias (640–609 av. J.‑C.).</w:t>
      </w:r>
    </w:p>
    <w:p>
      <w:pPr>
        <w:pStyle w:val="Heading1"/>
      </w:pPr>
      <w:r>
        <w:t>Signification et message</w:t>
      </w:r>
    </w:p>
    <w:p>
      <w:r/>
      <w: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r/>
      <w:r>
        <w:t>Dieu est lent à la colère (</w:t>
      </w:r>
      <w:hyperlink r:id="rId32">
        <w:r>
          <w:rPr>
            <w:color w:val="0000EE"/>
            <w:u w:val="single"/>
          </w:rPr>
          <w:t>1.3</w:t>
        </w:r>
      </w:hyperlink>
      <w:r>
        <w:t>), et son peuple doit être patient. L’assurance que ce Seigneur bon et attentionné (</w:t>
      </w:r>
      <w:hyperlink r:id="rId33">
        <w:r>
          <w:rPr>
            <w:color w:val="0000EE"/>
            <w:u w:val="single"/>
          </w:rPr>
          <w:t>1.7</w:t>
        </w:r>
      </w:hyperlink>
      <w:r>
        <w:t>) a un but précis pour son peuple (</w:t>
      </w:r>
      <w:hyperlink r:id="rId34">
        <w:r>
          <w:rPr>
            <w:color w:val="0000EE"/>
            <w:u w:val="single"/>
          </w:rPr>
          <w:t>2.2</w:t>
        </w:r>
      </w:hyperlink>
      <w:r>
        <w:t>) les encourage à mener une vie de foi et de confiance. Derrière le ton menaçant du livre se trouve la bonne nouvelle de l’espoir (</w:t>
      </w:r>
      <w:hyperlink r:id="rId35">
        <w:r>
          <w:rPr>
            <w:color w:val="0000EE"/>
            <w:u w:val="single"/>
          </w:rPr>
          <w:t>1.15</w:t>
        </w:r>
      </w:hyperlink>
      <w:r>
        <w:t>). Le prophète prédit un jour à venir où le peuple de Dieu l’adorera à nouveau dans une paix et une joie extraordinaires. Il sera enfin libéré de ceux qui voudraient lui enlever sa liberté.</w:t>
      </w:r>
    </w:p>
    <w:p>
      <w:r/>
      <w:r>
        <w:t>Les auteurs postérieurs des Écritures ont trouvé dans la bonne nouvelle de Nahum une promesse de la bonne nouvelle du Christ (</w:t>
      </w:r>
      <w:hyperlink r:id="rId36">
        <w:r>
          <w:rPr>
            <w:color w:val="0000EE"/>
            <w:u w:val="single"/>
          </w:rPr>
          <w:t>Rm 10.15</w:t>
        </w:r>
      </w:hyperlink>
      <w:r>
        <w:t xml:space="preserve"> ; voir aussi </w:t>
      </w:r>
      <w:hyperlink r:id="rId37">
        <w:r>
          <w:rPr>
            <w:color w:val="0000EE"/>
            <w:u w:val="single"/>
          </w:rPr>
          <w:t>Es 52.7</w:t>
        </w:r>
      </w:hyperlink>
      <w: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