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w:t>
      </w:r>
      <w:r/>
    </w:p>
    <w:p>
      <w:r/>
      <w:r>
        <w:t>परमेश्वर ने सबसे पहले सीनै में मूसा को इस्राएल की राष्ट्रीय "व्यवस्था" को प्रकट किया (</w:t>
      </w:r>
      <w:hyperlink r:id="rId15">
        <w:r>
          <w:rPr>
            <w:color w:val="0000EE"/>
            <w:u w:val="single"/>
          </w:rPr>
          <w:t>निर्ग 20–23</w:t>
        </w:r>
      </w:hyperlink>
      <w: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1"/>
      </w:pPr>
      <w:r>
        <w:t>पृष्ठभूमि</w:t>
      </w:r>
    </w:p>
    <w:p>
      <w:r/>
      <w: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r/>
      <w: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6">
        <w:r>
          <w:rPr>
            <w:color w:val="0000EE"/>
            <w:u w:val="single"/>
          </w:rPr>
          <w:t>निर्ग 19–24</w:t>
        </w:r>
      </w:hyperlink>
      <w: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1"/>
      </w:pPr>
      <w:r>
        <w:t>सारांश</w:t>
      </w:r>
    </w:p>
    <w:p>
      <w:r/>
      <w: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r/>
      <w: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r/>
      <w:r>
        <w:t>निम्नलिखित रूपरेखा एक वाचा दस्तावेज़ के रूप में व्यवस्थाविवरण के विश्लेषण को दर्शाती है:</w:t>
      </w:r>
    </w:p>
    <w:p>
      <w:pPr>
        <w:pStyle w:val="ListBullet"/>
        <w:spacing w:line="240" w:lineRule="auto"/>
        <w:ind w:left="720"/>
      </w:pPr>
      <w:r/>
      <w:hyperlink r:id="rId17">
        <w:r>
          <w:rPr>
            <w:color w:val="0000EE"/>
            <w:u w:val="single"/>
          </w:rPr>
          <w:t>1:1–5</w:t>
        </w:r>
      </w:hyperlink>
      <w:r>
        <w:t xml:space="preserve"> वाचा की प्रस्तावना</w:t>
      </w:r>
    </w:p>
    <w:p>
      <w:pPr>
        <w:pStyle w:val="ListBullet"/>
        <w:spacing w:line="240" w:lineRule="auto"/>
        <w:ind w:left="720"/>
      </w:pPr>
      <w:r/>
      <w:hyperlink r:id="rId18">
        <w:r>
          <w:rPr>
            <w:color w:val="0000EE"/>
            <w:u w:val="single"/>
          </w:rPr>
          <w:t>1:6–4:49</w:t>
        </w:r>
      </w:hyperlink>
      <w:r>
        <w:t xml:space="preserve"> ऐतिहासिक परिचय</w:t>
      </w:r>
    </w:p>
    <w:p>
      <w:pPr>
        <w:pStyle w:val="ListBullet"/>
        <w:spacing w:line="240" w:lineRule="auto"/>
        <w:ind w:left="720"/>
      </w:pPr>
      <w:r/>
      <w:hyperlink r:id="rId19">
        <w:r>
          <w:rPr>
            <w:color w:val="0000EE"/>
            <w:u w:val="single"/>
          </w:rPr>
          <w:t>5:1–26:15</w:t>
        </w:r>
      </w:hyperlink>
      <w:r>
        <w:t xml:space="preserve"> वाचा की शर्तें</w:t>
      </w:r>
    </w:p>
    <w:p>
      <w:pPr>
        <w:pStyle w:val="ListBullet"/>
        <w:spacing w:line="240" w:lineRule="auto"/>
        <w:ind w:left="720"/>
      </w:pPr>
      <w:r/>
      <w:hyperlink r:id="rId20">
        <w:r>
          <w:rPr>
            <w:color w:val="0000EE"/>
            <w:u w:val="single"/>
          </w:rPr>
          <w:t>26:16–29:1</w:t>
        </w:r>
      </w:hyperlink>
      <w:r>
        <w:t xml:space="preserve"> आज्ञाकारिता के लिए आशीष और अवज्ञा के लिए श्राप</w:t>
      </w:r>
    </w:p>
    <w:p>
      <w:pPr>
        <w:pStyle w:val="ListBullet"/>
        <w:spacing w:line="240" w:lineRule="auto"/>
        <w:ind w:left="720"/>
      </w:pPr>
      <w:r/>
      <w:hyperlink r:id="rId21">
        <w:r>
          <w:rPr>
            <w:color w:val="0000EE"/>
            <w:u w:val="single"/>
          </w:rPr>
          <w:t>29:2–30:20</w:t>
        </w:r>
      </w:hyperlink>
      <w:r>
        <w:t xml:space="preserve"> वाचा की समीक्षा और जीवन और मृत्यु के बीच चुनाव</w:t>
      </w:r>
    </w:p>
    <w:p>
      <w:pPr>
        <w:pStyle w:val="ListBullet"/>
        <w:spacing w:line="240" w:lineRule="auto"/>
        <w:ind w:left="720"/>
      </w:pPr>
      <w:r/>
      <w:hyperlink r:id="rId22">
        <w:r>
          <w:rPr>
            <w:color w:val="0000EE"/>
            <w:u w:val="single"/>
          </w:rPr>
          <w:t>31:1–29</w:t>
        </w:r>
      </w:hyperlink>
      <w:r>
        <w:t xml:space="preserve"> वाचा के लेख को सौंपना</w:t>
      </w:r>
    </w:p>
    <w:p>
      <w:pPr>
        <w:pStyle w:val="ListBullet"/>
        <w:spacing w:line="240" w:lineRule="auto"/>
        <w:ind w:left="720"/>
      </w:pPr>
      <w:r/>
      <w:hyperlink r:id="rId23">
        <w:r>
          <w:rPr>
            <w:color w:val="0000EE"/>
            <w:u w:val="single"/>
          </w:rPr>
          <w:t>31:30–32:43</w:t>
        </w:r>
      </w:hyperlink>
      <w:r>
        <w:t xml:space="preserve"> वाचा के गवाह</w:t>
      </w:r>
    </w:p>
    <w:p>
      <w:r/>
      <w: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1"/>
      </w:pPr>
      <w:r>
        <w:t>लेखकत्व</w:t>
      </w:r>
    </w:p>
    <w:p>
      <w:r/>
      <w: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4">
        <w:r>
          <w:rPr>
            <w:color w:val="0000EE"/>
            <w:u w:val="single"/>
          </w:rPr>
          <w:t>1 रा 2:3</w:t>
        </w:r>
      </w:hyperlink>
      <w:r>
        <w:t xml:space="preserve">; </w:t>
      </w:r>
      <w:hyperlink r:id="rId25">
        <w:r>
          <w:rPr>
            <w:color w:val="0000EE"/>
            <w:u w:val="single"/>
          </w:rPr>
          <w:t>2 रा 14:6</w:t>
        </w:r>
      </w:hyperlink>
      <w:r>
        <w:t xml:space="preserve">; </w:t>
      </w:r>
      <w:hyperlink r:id="rId26">
        <w:r>
          <w:rPr>
            <w:color w:val="0000EE"/>
            <w:u w:val="single"/>
          </w:rPr>
          <w:t>2 इति 25:4</w:t>
        </w:r>
      </w:hyperlink>
      <w:r>
        <w:t xml:space="preserve">; </w:t>
      </w:r>
      <w:hyperlink r:id="rId27">
        <w:r>
          <w:rPr>
            <w:color w:val="0000EE"/>
            <w:u w:val="single"/>
          </w:rPr>
          <w:t>एज्रा 3:2</w:t>
        </w:r>
      </w:hyperlink>
      <w:r>
        <w:t xml:space="preserve">; </w:t>
      </w:r>
      <w:hyperlink r:id="rId28">
        <w:r>
          <w:rPr>
            <w:color w:val="0000EE"/>
            <w:u w:val="single"/>
          </w:rPr>
          <w:t>मत्ती 19:7</w:t>
        </w:r>
      </w:hyperlink>
      <w:r>
        <w:t xml:space="preserve">; </w:t>
      </w:r>
      <w:hyperlink r:id="rId29">
        <w:r>
          <w:rPr>
            <w:color w:val="0000EE"/>
            <w:u w:val="single"/>
          </w:rPr>
          <w:t>मर 12:19</w:t>
        </w:r>
      </w:hyperlink>
      <w:r>
        <w:t xml:space="preserve">; </w:t>
      </w:r>
      <w:hyperlink r:id="rId30">
        <w:r>
          <w:rPr>
            <w:color w:val="0000EE"/>
            <w:u w:val="single"/>
          </w:rPr>
          <w:t>लूका 20:28</w:t>
        </w:r>
      </w:hyperlink>
      <w:r>
        <w:t xml:space="preserve">; </w:t>
      </w:r>
      <w:hyperlink r:id="rId31">
        <w:r>
          <w:rPr>
            <w:color w:val="0000EE"/>
            <w:u w:val="single"/>
          </w:rPr>
          <w:t>प्रेरि 10:2–23</w:t>
        </w:r>
      </w:hyperlink>
      <w:r>
        <w:t xml:space="preserve">; </w:t>
      </w:r>
      <w:hyperlink r:id="rId32">
        <w:r>
          <w:rPr>
            <w:color w:val="0000EE"/>
            <w:u w:val="single"/>
          </w:rPr>
          <w:t>रोम 10:19</w:t>
        </w:r>
      </w:hyperlink>
      <w:r>
        <w:t xml:space="preserve">; </w:t>
      </w:r>
      <w:hyperlink r:id="rId33">
        <w:r>
          <w:rPr>
            <w:color w:val="0000EE"/>
            <w:u w:val="single"/>
          </w:rPr>
          <w:t>1 कुरि 9:9</w:t>
        </w:r>
      </w:hyperlink>
      <w:r>
        <w:t>)।</w:t>
      </w:r>
    </w:p>
    <w:p>
      <w:r/>
      <w: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4">
        <w:r>
          <w:rPr>
            <w:color w:val="0000EE"/>
            <w:u w:val="single"/>
          </w:rPr>
          <w:t>2 रा 22:8–20</w:t>
        </w:r>
      </w:hyperlink>
      <w: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r/>
      <w: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r/>
      <w: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5">
        <w:r>
          <w:rPr>
            <w:color w:val="0000EE"/>
            <w:u w:val="single"/>
          </w:rPr>
          <w:t>34:5–12</w:t>
        </w:r>
      </w:hyperlink>
      <w:r>
        <w:t xml:space="preserve">)। आगे </w:t>
      </w:r>
      <w:r>
        <w:t>उत्पत्ति पुस्तक का परिचय,</w:t>
      </w:r>
      <w:r>
        <w:t xml:space="preserve"> "लेखकत्व" देखें।</w:t>
      </w:r>
    </w:p>
    <w:p>
      <w:pPr>
        <w:pStyle w:val="Heading1"/>
      </w:pPr>
      <w:r>
        <w:t>साहित्यिक रूप</w:t>
      </w:r>
    </w:p>
    <w:p>
      <w:r/>
      <w: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r/>
      <w: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r/>
      <w: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6">
        <w:r>
          <w:rPr>
            <w:color w:val="0000EE"/>
            <w:u w:val="single"/>
          </w:rPr>
          <w:t>निर्ग 4:22–23</w:t>
        </w:r>
      </w:hyperlink>
      <w: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1"/>
      </w:pPr>
      <w:r>
        <w:t>अर्थ और संदेश</w:t>
      </w:r>
    </w:p>
    <w:p>
      <w:r/>
      <w: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r/>
      <w:r>
        <w:t>इस्राएल को परमेश्वर की वाचा को स्वीकार करने या अस्वीकार करने की स्वतंत्रता थी (</w:t>
      </w:r>
      <w:hyperlink r:id="rId37">
        <w:r>
          <w:rPr>
            <w:color w:val="0000EE"/>
            <w:u w:val="single"/>
          </w:rPr>
          <w:t>निर्ग 19:7–8</w:t>
        </w:r>
      </w:hyperlink>
      <w: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8">
        <w:r>
          <w:rPr>
            <w:color w:val="0000EE"/>
            <w:u w:val="single"/>
          </w:rPr>
          <w:t>28:1–6</w:t>
        </w:r>
      </w:hyperlink>
      <w:r>
        <w:t xml:space="preserve">, </w:t>
      </w:r>
      <w:hyperlink r:id="rId39">
        <w:r>
          <w:rPr>
            <w:color w:val="0000EE"/>
            <w:u w:val="single"/>
          </w:rPr>
          <w:t>15–19</w:t>
        </w:r>
      </w:hyperlink>
      <w:r>
        <w:t>)। यद्यपि अवज्ञा से भी उभरा जा सकता था यदि राष्ट्र मन फिराए, वापस लौटे, और वाचा की संगति में पुनः स्थापित हो जाए (</w:t>
      </w:r>
      <w:hyperlink r:id="rId40">
        <w:r>
          <w:rPr>
            <w:color w:val="0000EE"/>
            <w:u w:val="single"/>
          </w:rPr>
          <w:t>30:1–10</w:t>
        </w:r>
      </w:hyperlink>
      <w:r>
        <w:t xml:space="preserve">; </w:t>
      </w:r>
      <w:hyperlink r:id="rId41">
        <w:r>
          <w:rPr>
            <w:color w:val="0000EE"/>
            <w:u w:val="single"/>
          </w:rPr>
          <w:t>लैव्य 26:40–45</w:t>
        </w:r>
      </w:hyperlink>
      <w:r>
        <w:t xml:space="preserve"> भी देखें)।</w:t>
      </w:r>
    </w:p>
    <w:p>
      <w:r/>
      <w: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2">
        <w:r>
          <w:rPr>
            <w:color w:val="0000EE"/>
            <w:u w:val="single"/>
          </w:rPr>
          <w:t>उत 17:1–8</w:t>
        </w:r>
      </w:hyperlink>
      <w:r>
        <w:t>)। सीनै में बांधी गई वाचा ने इस्राएल को याजकों के राज्य के रूप में प्रभु की सेवा का विशेषाधिकार प्रदान किया (</w:t>
      </w:r>
      <w:hyperlink r:id="rId43">
        <w:r>
          <w:rPr>
            <w:color w:val="0000EE"/>
            <w:u w:val="single"/>
          </w:rPr>
          <w:t>निर्ग 19:4–6</w:t>
        </w:r>
      </w:hyperlink>
      <w: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r/>
      <w: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