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Ibrani</w:t>
      </w:r>
      <w:r/>
    </w:p>
    <w:p>
      <w:r/>
      <w: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1"/>
      </w:pPr>
      <w:r>
        <w:t>Keadaan</w:t>
      </w:r>
    </w:p>
    <w:p>
      <w:r/>
      <w: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r/>
      <w:r>
        <w:t>Orang-orang percaya yang menjadi sasaran surat Ibrani kemungkinan besar berasal dari sekelompok gereja rumah di Roma pada awal tahun 60-an Masehi. Komunitas Kristen di Roma kemungkinan besar didirikan pada tahun 30-an Masehi ketika mereka yang hadir pada Pentakosta (</w:t>
      </w:r>
      <w:hyperlink r:id="rId15">
        <w:r>
          <w:rPr>
            <w:color w:val="0000EE"/>
            <w:u w:val="single"/>
          </w:rPr>
          <w:t>Kisah Para Rasul 2:10</w:t>
        </w:r>
      </w:hyperlink>
      <w:r>
        <w:t>) pulang ke rumah. Orang-orang percaya di Roma telah menunjukkan keberanian dan ketahanan (</w:t>
      </w:r>
      <w:hyperlink r:id="rId16">
        <w:r>
          <w:rPr>
            <w:color w:val="0000EE"/>
            <w:u w:val="single"/>
          </w:rPr>
          <w:t>Ibr. 10:32–34</w:t>
        </w:r>
      </w:hyperlink>
      <w:r>
        <w:t>), tetapi pada saat Ibrani ditulis, semangat rohani beberapa orang telah menjadi dingin (</w:t>
      </w:r>
      <w:hyperlink r:id="rId17">
        <w:r>
          <w:rPr>
            <w:color w:val="0000EE"/>
            <w:u w:val="single"/>
          </w:rPr>
          <w:t>5:11–14</w:t>
        </w:r>
      </w:hyperlink>
      <w:r>
        <w:t>), dan perspektif teologis mereka menjadi bias (</w:t>
      </w:r>
      <w:hyperlink r:id="rId18">
        <w:r>
          <w:rPr>
            <w:color w:val="0000EE"/>
            <w:u w:val="single"/>
          </w:rPr>
          <w:t>2:1</w:t>
        </w:r>
      </w:hyperlink>
      <w:r>
        <w:t>). Bahkan beberapa orang telah meninggalkan Kristus dan gereja (</w:t>
      </w:r>
      <w:hyperlink r:id="rId19">
        <w:r>
          <w:rPr>
            <w:color w:val="0000EE"/>
            <w:u w:val="single"/>
          </w:rPr>
          <w:t>6:4–8</w:t>
        </w:r>
      </w:hyperlink>
      <w:r>
        <w:t>).</w:t>
      </w:r>
    </w:p>
    <w:p>
      <w:pPr>
        <w:pStyle w:val="Heading1"/>
      </w:pPr>
      <w:r>
        <w:t>Ringkasan</w:t>
      </w:r>
    </w:p>
    <w:p>
      <w:r/>
      <w:r>
        <w:t xml:space="preserve">Ibrani adalah tanggapan pastoral yang penuh semangat dan dibuat dengan baik terhadap kebutuhan orang-orang yang sedang berjuang. Dengan gaya khotbah abad pertama, penulis secara bergantian menulis antara </w:t>
      </w:r>
      <w:r>
        <w:rPr>
          <w:i/>
        </w:rPr>
        <w:t>eksposisi</w:t>
      </w:r>
      <w:r>
        <w:t xml:space="preserve"> tentang pribadi dan pekerjaan Kristus dan </w:t>
      </w:r>
      <w:r>
        <w:rPr>
          <w:i/>
        </w:rPr>
        <w:t>nasihat</w:t>
      </w:r>
      <w:r>
        <w:t xml:space="preserve"> kepada para pendengar untuk taat dan bertahan. Melalui diskusi terperinci tentang Anak Allah, bersama dengan peringatan, tantangan, contoh, dan pengingat akan kesetiaan Allah, penulis memanggil para pembaca untuk bertekun mengikuti Kristus.</w:t>
      </w:r>
    </w:p>
    <w:p>
      <w:r/>
      <w:r>
        <w:t>Setelah pengantar untuk seluruh khotbah (</w:t>
      </w:r>
      <w:hyperlink r:id="rId20">
        <w:r>
          <w:rPr>
            <w:color w:val="0000EE"/>
            <w:u w:val="single"/>
          </w:rPr>
          <w:t>1:1–4</w:t>
        </w:r>
      </w:hyperlink>
      <w:r>
        <w:t>), eksposisi penulis tentang superioritas Kristus berkembang dalam dua gerakan besar. Gerakan pertama (</w:t>
      </w:r>
      <w:hyperlink r:id="rId21">
        <w:r>
          <w:rPr>
            <w:color w:val="0000EE"/>
            <w:u w:val="single"/>
          </w:rPr>
          <w:t>1:5–2:18</w:t>
        </w:r>
      </w:hyperlink>
      <w:r>
        <w:t>) menjelaskan hubungan Anak Allah dengan para malaikat. Para malaikat adalah pelayan (</w:t>
      </w:r>
      <w:hyperlink r:id="rId22">
        <w:r>
          <w:rPr>
            <w:color w:val="0000EE"/>
            <w:u w:val="single"/>
          </w:rPr>
          <w:t>1:6–7</w:t>
        </w:r>
      </w:hyperlink>
      <w:r>
        <w:t xml:space="preserve">, </w:t>
      </w:r>
      <w:hyperlink r:id="rId23">
        <w:r>
          <w:rPr>
            <w:color w:val="0000EE"/>
            <w:u w:val="single"/>
          </w:rPr>
          <w:t>14</w:t>
        </w:r>
      </w:hyperlink>
      <w:r>
        <w:t>), tetapi Anak yang ditinggikan (</w:t>
      </w:r>
      <w:hyperlink r:id="rId24">
        <w:r>
          <w:rPr>
            <w:color w:val="0000EE"/>
            <w:u w:val="single"/>
          </w:rPr>
          <w:t>1:13</w:t>
        </w:r>
      </w:hyperlink>
      <w:r>
        <w:t>), dengan hubungannya yang unik dengan Bapa (</w:t>
      </w:r>
      <w:hyperlink r:id="rId25">
        <w:r>
          <w:rPr>
            <w:color w:val="0000EE"/>
            <w:u w:val="single"/>
          </w:rPr>
          <w:t>1:5</w:t>
        </w:r>
      </w:hyperlink>
      <w:r>
        <w:t>), adalah Tuhan, pencipta, dan pemelihara alam semesta—memang, Dia adalah Allah (</w:t>
      </w:r>
      <w:hyperlink r:id="rId26">
        <w:r>
          <w:rPr>
            <w:color w:val="0000EE"/>
            <w:u w:val="single"/>
          </w:rPr>
          <w:t>1:8–12</w:t>
        </w:r>
      </w:hyperlink>
      <w:r>
        <w:t>). Penulis mendesak para pendengar untuk memperhatikan dengan saksama pesan keselamatan yang telah diajarkan kepada mereka (</w:t>
      </w:r>
      <w:hyperlink r:id="rId27">
        <w:r>
          <w:rPr>
            <w:color w:val="0000EE"/>
            <w:u w:val="single"/>
          </w:rPr>
          <w:t>2:1–4</w:t>
        </w:r>
      </w:hyperlink>
      <w:r>
        <w:t>), dan kemudian melanjutkan eksposisi. Kedudukan Kristus yang ditinggikan untuk sementara lebih rendah daripada para malaikat ketika Dia menjadi manusia (</w:t>
      </w:r>
      <w:hyperlink r:id="rId28">
        <w:r>
          <w:rPr>
            <w:color w:val="0000EE"/>
            <w:u w:val="single"/>
          </w:rPr>
          <w:t>2:5–9</w:t>
        </w:r>
      </w:hyperlink>
      <w:r>
        <w:t>); Yesus mengambil daging dan darah untuk mati demi membebaskan kita (</w:t>
      </w:r>
      <w:hyperlink r:id="rId29">
        <w:r>
          <w:rPr>
            <w:color w:val="0000EE"/>
            <w:u w:val="single"/>
          </w:rPr>
          <w:t>2:10–18</w:t>
        </w:r>
      </w:hyperlink>
      <w:r>
        <w:t>). Eksposisi pertama diikuti dengan nasihat (</w:t>
      </w:r>
      <w:hyperlink r:id="rId30">
        <w:r>
          <w:rPr>
            <w:color w:val="0000EE"/>
            <w:u w:val="single"/>
          </w:rPr>
          <w:t>3:1–4:13</w:t>
        </w:r>
      </w:hyperlink>
      <w:r>
        <w:t>) yang berfokus pada perlunya ketaatan yang setia dan janji lanjutan tentang istirahat bagi umat Allah.</w:t>
      </w:r>
    </w:p>
    <w:p>
      <w:r/>
      <w:r>
        <w:t>Gerakan kedua dari eksposisi (</w:t>
      </w:r>
      <w:hyperlink r:id="rId31">
        <w:r>
          <w:rPr>
            <w:color w:val="0000EE"/>
            <w:u w:val="single"/>
          </w:rPr>
          <w:t>4:14–10:18</w:t>
        </w:r>
      </w:hyperlink>
      <w:r>
        <w:t xml:space="preserve">) membahas posisi Sang Anak, Imam Besar kita, dalam hubungannya dengan sistem pengorbanan pada Perjanjian Lama. Setelah memperkenalkan tema ini </w:t>
      </w:r>
      <w:hyperlink r:id="rId32">
        <w:r>
          <w:rPr>
            <w:color w:val="0000EE"/>
            <w:u w:val="single"/>
          </w:rPr>
          <w:t>4:14–16</w:t>
        </w:r>
      </w:hyperlink>
      <w:r>
        <w:t>, penulis membahas penunjukan Sang Anak sebagai Imam Besar yang superior (</w:t>
      </w:r>
      <w:hyperlink r:id="rId33">
        <w:r>
          <w:rPr>
            <w:color w:val="0000EE"/>
            <w:u w:val="single"/>
          </w:rPr>
          <w:t>5:1–10</w:t>
        </w:r>
      </w:hyperlink>
      <w:r>
        <w:t>) dan menegur komunitas tersebut dengan ketidakdewasaan rohani mereka (</w:t>
      </w:r>
      <w:hyperlink r:id="rId34">
        <w:r>
          <w:rPr>
            <w:color w:val="0000EE"/>
            <w:u w:val="single"/>
          </w:rPr>
          <w:t>5:11–6:20</w:t>
        </w:r>
      </w:hyperlink>
      <w:r>
        <w:t>). Sebuah diskusi tentang superioritas Melkisedek atas para imam Lewi (</w:t>
      </w:r>
      <w:hyperlink r:id="rId35">
        <w:r>
          <w:rPr>
            <w:color w:val="0000EE"/>
            <w:u w:val="single"/>
          </w:rPr>
          <w:t>7:1–10</w:t>
        </w:r>
      </w:hyperlink>
      <w:r>
        <w:t>) menjadi dasar untuk menampilkan Yesus sebagai Imam Besar yang superior menurut perintah Melkisedek (</w:t>
      </w:r>
      <w:hyperlink r:id="rId36">
        <w:r>
          <w:rPr>
            <w:color w:val="0000EE"/>
            <w:u w:val="single"/>
          </w:rPr>
          <w:t>7:11–28</w:t>
        </w:r>
      </w:hyperlink>
      <w: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hyperlink r:id="rId37">
        <w:r>
          <w:rPr>
            <w:color w:val="0000EE"/>
            <w:u w:val="single"/>
          </w:rPr>
          <w:t>8:3–10:18</w:t>
        </w:r>
      </w:hyperlink>
      <w:r>
        <w:t>). Sama seperti para imam duniawi, imam superior ini harus memberikan persembahan untuk dosa, tetapi persembahannya adalah persembahan perjanjian baru (</w:t>
      </w:r>
      <w:hyperlink r:id="rId38">
        <w:r>
          <w:rPr>
            <w:color w:val="0000EE"/>
            <w:u w:val="single"/>
          </w:rPr>
          <w:t>8:7–13</w:t>
        </w:r>
      </w:hyperlink>
      <w:r>
        <w:t>) yang superior dari yang lama (</w:t>
      </w:r>
      <w:hyperlink r:id="rId39">
        <w:r>
          <w:rPr>
            <w:color w:val="0000EE"/>
            <w:u w:val="single"/>
          </w:rPr>
          <w:t>9:1–10:18</w:t>
        </w:r>
      </w:hyperlink>
      <w:r>
        <w:t>).</w:t>
      </w:r>
    </w:p>
    <w:p>
      <w:r/>
      <w:r>
        <w:t>Bagian utama terakhir (</w:t>
      </w:r>
      <w:hyperlink r:id="rId40">
        <w:r>
          <w:rPr>
            <w:color w:val="0000EE"/>
            <w:u w:val="single"/>
          </w:rPr>
          <w:t>10:19–13:25</w:t>
        </w:r>
      </w:hyperlink>
      <w:r>
        <w:t>) adalah nasihat yang menantang para pendengar untuk merespons dengan setia kepada pesan tentang Kristus. Kitab ini diakhiri dengan berkat dan penutup resmi (</w:t>
      </w:r>
      <w:hyperlink r:id="rId41">
        <w:r>
          <w:rPr>
            <w:color w:val="0000EE"/>
            <w:u w:val="single"/>
          </w:rPr>
          <w:t>13:20–25</w:t>
        </w:r>
      </w:hyperlink>
      <w:r>
        <w:t>).</w:t>
      </w:r>
    </w:p>
    <w:p>
      <w:pPr>
        <w:pStyle w:val="Heading1"/>
      </w:pPr>
      <w:r>
        <w:t>Kepengarangan</w:t>
      </w:r>
    </w:p>
    <w:p>
      <w:r/>
      <w: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r/>
      <w:r>
        <w:t xml:space="preserve">Hampir semua ahli saat ini setuju bahwa Paulus bukanlah penulis Ibrani. Pertama, dalam </w:t>
      </w:r>
      <w:hyperlink r:id="rId42">
        <w:r>
          <w:rPr>
            <w:color w:val="0000EE"/>
            <w:u w:val="single"/>
          </w:rPr>
          <w:t>2:3</w:t>
        </w:r>
      </w:hyperlink>
      <w:r>
        <w:t xml:space="preserve">, penulis digambarkan sebagai orang yang menerima Kabar Baik dari para saksi asli yang mengikuti Kristus, dan ini sama sekali tidak terdengar seperti Paulus (lihat </w:t>
      </w:r>
      <w:hyperlink r:id="rId43">
        <w:r>
          <w:rPr>
            <w:color w:val="0000EE"/>
            <w:u w:val="single"/>
          </w:rPr>
          <w:t>Rm. 1:1</w:t>
        </w:r>
      </w:hyperlink>
      <w:r>
        <w:t xml:space="preserve">; </w:t>
      </w:r>
      <w:hyperlink r:id="rId44">
        <w:r>
          <w:rPr>
            <w:color w:val="0000EE"/>
            <w:u w:val="single"/>
          </w:rPr>
          <w:t>1 Kor. 15:8</w:t>
        </w:r>
      </w:hyperlink>
      <w:r>
        <w:t xml:space="preserve">; </w:t>
      </w:r>
      <w:hyperlink r:id="rId45">
        <w:r>
          <w:rPr>
            <w:color w:val="0000EE"/>
            <w:u w:val="single"/>
          </w:rPr>
          <w:t>Gal. 1:11–16</w:t>
        </w:r>
      </w:hyperlink>
      <w:r>
        <w:t>). Kedua, gaya penulisan, gambaran teologis, dan kosakata yang digunakan sangat berbeda dengan gaya Paulus; misalnya, kitab Ibrani menggunakan 169 kata yang tidak ditemukan di tempat lain dalam Perjanjian Baru.</w:t>
      </w:r>
    </w:p>
    <w:p>
      <w:r/>
      <w: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hyperlink r:id="rId46">
        <w:r>
          <w:rPr>
            <w:color w:val="0000EE"/>
            <w:u w:val="single"/>
          </w:rPr>
          <w:t>Kisah Para Rasul 18:24–26</w:t>
        </w:r>
      </w:hyperlink>
      <w:r>
        <w:t>, menggambarkan Apolos sebagai seorang pria fasih dari Aleksandria, seorang ahli pidato dan pengkhotbah yang hebat.</w:t>
      </w:r>
    </w:p>
    <w:p>
      <w:r/>
      <w: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1"/>
      </w:pPr>
      <w:r>
        <w:t>Para penerima</w:t>
      </w:r>
    </w:p>
    <w:p>
      <w:r/>
      <w:r>
        <w:t>Penulis menulis, “Sampaikan salam kepada semua pemimpinmu dan kepada semua orang percaya di sana. Salam dari orang-orang percaya di Italia” (</w:t>
      </w:r>
      <w:hyperlink r:id="rId47">
        <w:r>
          <w:rPr>
            <w:color w:val="0000EE"/>
            <w:u w:val="single"/>
          </w:rPr>
          <w:t>Ibr. 13:24</w:t>
        </w:r>
      </w:hyperlink>
      <w:r>
        <w:t>). Penulis tampaknya telah menulis kembali ke Italia, dan mungkin ke Roma, menyampaikan salam dari orang Kristen Italia yang telah bepergian ke luar negeri.</w:t>
      </w:r>
    </w:p>
    <w:p>
      <w:r/>
      <w: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1"/>
      </w:pPr>
      <w:r>
        <w:t>Kesempatan Menulis</w:t>
      </w:r>
    </w:p>
    <w:p>
      <w:r/>
      <w:r>
        <w:t xml:space="preserve">Beberapa orang dalam komunitas Kristen tampaknya sedang berjuang untuk mempertahankan komitmen mereka karena mereka dianiaya. Bagian seperti </w:t>
      </w:r>
      <w:hyperlink r:id="rId48">
        <w:r>
          <w:rPr>
            <w:color w:val="0000EE"/>
            <w:u w:val="single"/>
          </w:rPr>
          <w:t>Ibrani 10:32–39</w:t>
        </w:r>
      </w:hyperlink>
      <w: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r/>
      <w: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hyperlink r:id="rId49">
        <w:r>
          <w:rPr>
            <w:color w:val="0000EE"/>
            <w:u w:val="single"/>
          </w:rPr>
          <w:t>12:4</w:t>
        </w:r>
      </w:hyperlink>
      <w:r>
        <w:t>), tetapi tekanan penganiayaan terus meningkat.</w:t>
      </w:r>
    </w:p>
    <w:p>
      <w:pPr>
        <w:pStyle w:val="Heading1"/>
      </w:pPr>
      <w:r>
        <w:t>Makna dan Pesan</w:t>
      </w:r>
    </w:p>
    <w:p>
      <w:r/>
      <w:r>
        <w:t>Allah telah berbicara tentang Anak-Nya dan melalui Anak-Nya (</w:t>
      </w:r>
      <w:hyperlink r:id="rId50">
        <w:r>
          <w:rPr>
            <w:color w:val="0000EE"/>
            <w:u w:val="single"/>
          </w:rPr>
          <w:t>1:1–3</w:t>
        </w:r>
      </w:hyperlink>
      <w:r>
        <w:t>), dan ada konsekuensi mengerikan bagi mereka yang tidak mendengarkan dan menanggapi firman itu dengan ketaatan (</w:t>
      </w:r>
      <w:hyperlink r:id="rId51">
        <w:r>
          <w:rPr>
            <w:color w:val="0000EE"/>
            <w:u w:val="single"/>
          </w:rPr>
          <w:t>2:1–3</w:t>
        </w:r>
      </w:hyperlink>
      <w:r>
        <w:t>). Pada akhirnya, Yesus, Sang Pencipta dan Pemelihara alam semesta (</w:t>
      </w:r>
      <w:hyperlink r:id="rId52">
        <w:r>
          <w:rPr>
            <w:color w:val="0000EE"/>
            <w:u w:val="single"/>
          </w:rPr>
          <w:t>1:2–3</w:t>
        </w:r>
      </w:hyperlink>
      <w:r>
        <w:t>), akan menyingkirkan tatanan ciptaan seperti seseorang melipat pakaian lama (</w:t>
      </w:r>
      <w:hyperlink r:id="rId53">
        <w:r>
          <w:rPr>
            <w:color w:val="0000EE"/>
            <w:u w:val="single"/>
          </w:rPr>
          <w:t>1:10–12</w:t>
        </w:r>
      </w:hyperlink>
      <w:r>
        <w:t>).</w:t>
      </w:r>
    </w:p>
    <w:p>
      <w:r/>
      <w:r>
        <w:t>Yesus sangat layak untuk komitmen, penyembahan, dan ketekunan kita dalam iman. Dia lebih superior daripada para malaikat (</w:t>
      </w:r>
      <w:hyperlink r:id="rId54">
        <w:r>
          <w:rPr>
            <w:color w:val="0000EE"/>
            <w:u w:val="single"/>
          </w:rPr>
          <w:t>1:5–14</w:t>
        </w:r>
      </w:hyperlink>
      <w:r>
        <w:t>), daripada Musa (</w:t>
      </w:r>
      <w:hyperlink r:id="rId55">
        <w:r>
          <w:rPr>
            <w:color w:val="0000EE"/>
            <w:u w:val="single"/>
          </w:rPr>
          <w:t>3:1–6</w:t>
        </w:r>
      </w:hyperlink>
      <w:r>
        <w:t>), dan daripada imamat Lewi dari perjanjian lama (</w:t>
      </w:r>
      <w:hyperlink r:id="rId33">
        <w:r>
          <w:rPr>
            <w:color w:val="0000EE"/>
            <w:u w:val="single"/>
          </w:rPr>
          <w:t>5:1–10</w:t>
        </w:r>
      </w:hyperlink>
      <w:r>
        <w:t xml:space="preserve">; </w:t>
      </w:r>
      <w:hyperlink r:id="rId56">
        <w:r>
          <w:rPr>
            <w:color w:val="0000EE"/>
            <w:u w:val="single"/>
          </w:rPr>
          <w:t>7:1–28</w:t>
        </w:r>
      </w:hyperlink>
      <w:r>
        <w:t>).</w:t>
      </w:r>
    </w:p>
    <w:p>
      <w:r/>
      <w:r>
        <w:t>Yesus telah membuat perjanjian surgawi yang baru, dengan mengorbankan dirinya sekali untuk selamanya melalui kematian-Nya sendiri (</w:t>
      </w:r>
      <w:hyperlink r:id="rId37">
        <w:r>
          <w:rPr>
            <w:color w:val="0000EE"/>
            <w:u w:val="single"/>
          </w:rPr>
          <w:t>8:3–10:18</w:t>
        </w:r>
      </w:hyperlink>
      <w:r>
        <w:t>). Dalam inkarnasi-Nya, Dia bertahan sebagai Anak yang setia (</w:t>
      </w:r>
      <w:hyperlink r:id="rId55">
        <w:r>
          <w:rPr>
            <w:color w:val="0000EE"/>
            <w:u w:val="single"/>
          </w:rPr>
          <w:t>3:1–6</w:t>
        </w:r>
      </w:hyperlink>
      <w:r>
        <w:t xml:space="preserve">; </w:t>
      </w:r>
      <w:hyperlink r:id="rId57">
        <w:r>
          <w:rPr>
            <w:color w:val="0000EE"/>
            <w:u w:val="single"/>
          </w:rPr>
          <w:t>5:7–8</w:t>
        </w:r>
      </w:hyperlink>
      <w:r>
        <w:t xml:space="preserve">; </w:t>
      </w:r>
      <w:hyperlink r:id="rId58">
        <w:r>
          <w:rPr>
            <w:color w:val="0000EE"/>
            <w:u w:val="single"/>
          </w:rPr>
          <w:t>12:1–2</w:t>
        </w:r>
      </w:hyperlink>
      <w:r>
        <w:t>), dan dalam kemuliaan-Nya Dia memerintah sebagai Tuhan tertinggi alam semesta (</w:t>
      </w:r>
      <w:hyperlink r:id="rId59">
        <w:r>
          <w:rPr>
            <w:color w:val="0000EE"/>
            <w:u w:val="single"/>
          </w:rPr>
          <w:t>1:2–4</w:t>
        </w:r>
      </w:hyperlink>
      <w:r>
        <w:t xml:space="preserve">, </w:t>
      </w:r>
      <w:hyperlink r:id="rId60">
        <w:r>
          <w:rPr>
            <w:color w:val="0000EE"/>
            <w:u w:val="single"/>
          </w:rPr>
          <w:t>8–13</w:t>
        </w:r>
      </w:hyperlink>
      <w:r>
        <w:t>). Dengan demikian, Yesus memberi kita dasar yang lebih superior untuk bertahan dalam kehidupan Kristen dan memiliki harapan untuk masa depan.</w:t>
      </w:r>
    </w:p>
    <w:p>
      <w:r/>
      <w:r>
        <w:t xml:space="preserve">Kita juga dapat melihat contoh-contoh positif orang lain yang telah setia dalam perjalanan mereka menuju kota Allah yang kekal (lihat </w:t>
      </w:r>
      <w:hyperlink r:id="rId61">
        <w:r>
          <w:rPr>
            <w:color w:val="0000EE"/>
            <w:u w:val="single"/>
          </w:rPr>
          <w:t>6:13–15</w:t>
        </w:r>
      </w:hyperlink>
      <w:r>
        <w:t xml:space="preserve">; </w:t>
      </w:r>
      <w:hyperlink r:id="rId48">
        <w:r>
          <w:rPr>
            <w:color w:val="0000EE"/>
            <w:u w:val="single"/>
          </w:rPr>
          <w:t>10:32–39</w:t>
        </w:r>
      </w:hyperlink>
      <w:r>
        <w:t xml:space="preserve">; </w:t>
      </w:r>
      <w:hyperlink r:id="rId62">
        <w:r>
          <w:rPr>
            <w:color w:val="0000EE"/>
            <w:u w:val="single"/>
          </w:rPr>
          <w:t>11:1–40</w:t>
        </w:r>
      </w:hyperlink>
      <w:r>
        <w:t xml:space="preserve">), dan contoh-contoh negatif dari mereka yang jatuh karena ketidaktaatan (lihat </w:t>
      </w:r>
      <w:hyperlink r:id="rId63">
        <w:r>
          <w:rPr>
            <w:color w:val="0000EE"/>
            <w:u w:val="single"/>
          </w:rPr>
          <w:t>3:7–19</w:t>
        </w:r>
      </w:hyperlink>
      <w:r>
        <w:t xml:space="preserve">; </w:t>
      </w:r>
      <w:hyperlink r:id="rId19">
        <w:r>
          <w:rPr>
            <w:color w:val="0000EE"/>
            <w:u w:val="single"/>
          </w:rPr>
          <w:t>6:4–8</w:t>
        </w:r>
      </w:hyperlink>
      <w:r>
        <w:t>). Dan kita dapat menerima janji-janji Allah kepada kita mengenai warisan kita sebagai anak-anak-Nya (</w:t>
      </w:r>
      <w:hyperlink r:id="rId64">
        <w:r>
          <w:rPr>
            <w:color w:val="0000EE"/>
            <w:u w:val="single"/>
          </w:rPr>
          <w:t>4:3–11</w:t>
        </w:r>
      </w:hyperlink>
      <w:r>
        <w:t xml:space="preserve">; </w:t>
      </w:r>
      <w:hyperlink r:id="rId65">
        <w:r>
          <w:rPr>
            <w:color w:val="0000EE"/>
            <w:u w:val="single"/>
          </w:rPr>
          <w:t>6:13–20</w:t>
        </w:r>
      </w:hyperlink>
      <w:r>
        <w:t xml:space="preserve">; </w:t>
      </w:r>
      <w:hyperlink r:id="rId66">
        <w:r>
          <w:rPr>
            <w:color w:val="0000EE"/>
            <w:u w:val="single"/>
          </w:rPr>
          <w:t>12:22–24</w:t>
        </w:r>
      </w:hyperlink>
      <w:r>
        <w:t>).</w:t>
      </w:r>
    </w:p>
    <w:p>
      <w:r/>
      <w:r>
        <w:t>Karena Yesus, kita dapat hidup sebagai anggota komunitas Kristen yang setia dalam hubungan kita dan dalam ibadah kita (</w:t>
      </w:r>
      <w:hyperlink r:id="rId67">
        <w:r>
          <w:rPr>
            <w:color w:val="0000EE"/>
            <w:u w:val="single"/>
          </w:rPr>
          <w:t>13:1–17</w:t>
        </w:r>
      </w:hyperlink>
      <w:r>
        <w:t>). Ketekunan kita dalam iman Kristen akan berbanding lurus dengan kejelasan kita memahami siapa Yesus dan apa yang telah Dia capai untuk kita.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