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w:t>
      </w:r>
      <w:r/>
    </w:p>
    <w:p>
      <w:r/>
      <w:r>
        <w:t>Deus revelou primeiramente a “constituição” nacional de Israel a Moisés no Sinai (</w:t>
      </w:r>
      <w:hyperlink r:id="rId15">
        <w:r>
          <w:rPr>
            <w:color w:val="0000EE"/>
            <w:u w:val="single"/>
          </w:rPr>
          <w:t>Êx 20–23</w:t>
        </w:r>
      </w:hyperlink>
      <w: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1"/>
      </w:pPr>
      <w:r>
        <w:t>Cenário</w:t>
      </w:r>
    </w:p>
    <w:p>
      <w:r/>
      <w: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r/>
      <w: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hyperlink r:id="rId16">
        <w:r>
          <w:rPr>
            <w:color w:val="0000EE"/>
            <w:u w:val="single"/>
          </w:rPr>
          <w:t>Êx 19–24</w:t>
        </w:r>
      </w:hyperlink>
      <w:r>
        <w:t>). Agora, antes do pleno estabelecimento de Israel como uma comunidade estável, a aliança original deveria ser reafirmada e ampliada. O livro de Deuteronômio é esta reafirmação.</w:t>
      </w:r>
    </w:p>
    <w:p>
      <w:pPr>
        <w:pStyle w:val="Heading1"/>
      </w:pPr>
      <w:r>
        <w:t>Resumo</w:t>
      </w:r>
    </w:p>
    <w:p>
      <w:r/>
      <w: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r/>
      <w: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r/>
      <w:r>
        <w:t>O seguinte esboço reflete a análise de Deuteronômio como um documento de aliança:</w:t>
      </w:r>
    </w:p>
    <w:p>
      <w:pPr>
        <w:pStyle w:val="ListBullet"/>
        <w:spacing w:line="240" w:lineRule="auto"/>
        <w:ind w:left="720"/>
      </w:pPr>
      <w:r/>
      <w:hyperlink r:id="rId17">
        <w:r>
          <w:rPr>
            <w:color w:val="0000EE"/>
            <w:u w:val="single"/>
          </w:rPr>
          <w:t>1.1–5</w:t>
        </w:r>
      </w:hyperlink>
      <w:r>
        <w:t xml:space="preserve"> Preâmbulo da aliança</w:t>
      </w:r>
    </w:p>
    <w:p>
      <w:pPr>
        <w:pStyle w:val="ListBullet"/>
        <w:spacing w:line="240" w:lineRule="auto"/>
        <w:ind w:left="720"/>
      </w:pPr>
      <w:r/>
      <w:hyperlink r:id="rId18">
        <w:r>
          <w:rPr>
            <w:color w:val="0000EE"/>
            <w:u w:val="single"/>
          </w:rPr>
          <w:t>1.6–4.49</w:t>
        </w:r>
      </w:hyperlink>
      <w:r>
        <w:t xml:space="preserve"> Prólogo histórico</w:t>
      </w:r>
    </w:p>
    <w:p>
      <w:pPr>
        <w:pStyle w:val="ListBullet"/>
        <w:spacing w:line="240" w:lineRule="auto"/>
        <w:ind w:left="720"/>
      </w:pPr>
      <w:r/>
      <w:hyperlink r:id="rId19">
        <w:r>
          <w:rPr>
            <w:color w:val="0000EE"/>
            <w:u w:val="single"/>
          </w:rPr>
          <w:t>5.1–26.15</w:t>
        </w:r>
      </w:hyperlink>
      <w:r>
        <w:t xml:space="preserve"> Estipulações da aliança</w:t>
      </w:r>
    </w:p>
    <w:p>
      <w:pPr>
        <w:pStyle w:val="ListBullet"/>
        <w:spacing w:line="240" w:lineRule="auto"/>
        <w:ind w:left="720"/>
      </w:pPr>
      <w:r/>
      <w:hyperlink r:id="rId20">
        <w:r>
          <w:rPr>
            <w:color w:val="0000EE"/>
            <w:u w:val="single"/>
          </w:rPr>
          <w:t>26.16–29.1</w:t>
        </w:r>
      </w:hyperlink>
      <w:r>
        <w:t xml:space="preserve"> Bênçãos pela obediência e maldições pela desobediência</w:t>
      </w:r>
    </w:p>
    <w:p>
      <w:pPr>
        <w:pStyle w:val="ListBullet"/>
        <w:spacing w:line="240" w:lineRule="auto"/>
        <w:ind w:left="720"/>
      </w:pPr>
      <w:r/>
      <w:hyperlink r:id="rId21">
        <w:r>
          <w:rPr>
            <w:color w:val="0000EE"/>
            <w:u w:val="single"/>
          </w:rPr>
          <w:t>29.2–30.20</w:t>
        </w:r>
      </w:hyperlink>
      <w:r>
        <w:t xml:space="preserve"> Revisão da aliança e escolha entre vida e morte</w:t>
      </w:r>
    </w:p>
    <w:p>
      <w:pPr>
        <w:pStyle w:val="ListBullet"/>
        <w:spacing w:line="240" w:lineRule="auto"/>
        <w:ind w:left="720"/>
      </w:pPr>
      <w:r/>
      <w:hyperlink r:id="rId22">
        <w:r>
          <w:rPr>
            <w:color w:val="0000EE"/>
            <w:u w:val="single"/>
          </w:rPr>
          <w:t>31.1–29</w:t>
        </w:r>
      </w:hyperlink>
      <w:r>
        <w:t xml:space="preserve"> Depósito do texto da aliança</w:t>
      </w:r>
    </w:p>
    <w:p>
      <w:pPr>
        <w:pStyle w:val="ListBullet"/>
        <w:spacing w:line="240" w:lineRule="auto"/>
        <w:ind w:left="720"/>
      </w:pPr>
      <w:r/>
      <w:hyperlink r:id="rId23">
        <w:r>
          <w:rPr>
            <w:color w:val="0000EE"/>
            <w:u w:val="single"/>
          </w:rPr>
          <w:t>31.30–32.43</w:t>
        </w:r>
      </w:hyperlink>
      <w:r>
        <w:t xml:space="preserve"> Testemunhas da aliança</w:t>
      </w:r>
    </w:p>
    <w:p>
      <w:r/>
      <w:r>
        <w:t>O esboço integrado ao texto bíblico reflete a estrutura de Deuteronômio tanto como um texto da aliança quanto como um discurso de despedida comunicado em uma série de sermões.</w:t>
      </w:r>
    </w:p>
    <w:p>
      <w:pPr>
        <w:pStyle w:val="Heading1"/>
      </w:pPr>
      <w:r>
        <w:t>Autoria</w:t>
      </w:r>
    </w:p>
    <w:p>
      <w:r/>
      <w:r>
        <w:t xml:space="preserve">A tradição judaica e cristã de longa data sustenta que Moisés escreveu Deuteronômio. Tanto o Antigo Testamento quanto o Novo Testamento reconhecem a autoria de Moisés deste livro (veja </w:t>
      </w:r>
      <w:hyperlink r:id="rId24">
        <w:r>
          <w:rPr>
            <w:color w:val="0000EE"/>
            <w:u w:val="single"/>
          </w:rPr>
          <w:t>1Rs 2.3</w:t>
        </w:r>
      </w:hyperlink>
      <w:r>
        <w:t xml:space="preserve">; </w:t>
      </w:r>
      <w:hyperlink r:id="rId25">
        <w:r>
          <w:rPr>
            <w:color w:val="0000EE"/>
            <w:u w:val="single"/>
          </w:rPr>
          <w:t>2Rs 14.6</w:t>
        </w:r>
      </w:hyperlink>
      <w:r>
        <w:t xml:space="preserve">; </w:t>
      </w:r>
      <w:hyperlink r:id="rId26">
        <w:r>
          <w:rPr>
            <w:color w:val="0000EE"/>
            <w:u w:val="single"/>
          </w:rPr>
          <w:t>2Cr 25.4</w:t>
        </w:r>
      </w:hyperlink>
      <w:r>
        <w:t xml:space="preserve">; </w:t>
      </w:r>
      <w:hyperlink r:id="rId27">
        <w:r>
          <w:rPr>
            <w:color w:val="0000EE"/>
            <w:u w:val="single"/>
          </w:rPr>
          <w:t>Esdras 3.2</w:t>
        </w:r>
      </w:hyperlink>
      <w:r>
        <w:t xml:space="preserve">; </w:t>
      </w:r>
      <w:hyperlink r:id="rId28">
        <w:r>
          <w:rPr>
            <w:color w:val="0000EE"/>
            <w:u w:val="single"/>
          </w:rPr>
          <w:t>Mt 19.7</w:t>
        </w:r>
      </w:hyperlink>
      <w:r>
        <w:t xml:space="preserve">; </w:t>
      </w:r>
      <w:hyperlink r:id="rId29">
        <w:r>
          <w:rPr>
            <w:color w:val="0000EE"/>
            <w:u w:val="single"/>
          </w:rPr>
          <w:t>Marcos 12.19</w:t>
        </w:r>
      </w:hyperlink>
      <w:r>
        <w:t xml:space="preserve">; </w:t>
      </w:r>
      <w:hyperlink r:id="rId30">
        <w:r>
          <w:rPr>
            <w:color w:val="0000EE"/>
            <w:u w:val="single"/>
          </w:rPr>
          <w:t>Lucas 20.28</w:t>
        </w:r>
      </w:hyperlink>
      <w:r>
        <w:t xml:space="preserve">; </w:t>
      </w:r>
      <w:hyperlink r:id="rId31">
        <w:r>
          <w:rPr>
            <w:color w:val="0000EE"/>
            <w:u w:val="single"/>
          </w:rPr>
          <w:t>Atos 3.22–23</w:t>
        </w:r>
      </w:hyperlink>
      <w:r>
        <w:t xml:space="preserve">; </w:t>
      </w:r>
      <w:hyperlink r:id="rId32">
        <w:r>
          <w:rPr>
            <w:color w:val="0000EE"/>
            <w:u w:val="single"/>
          </w:rPr>
          <w:t>Rm 10.19</w:t>
        </w:r>
      </w:hyperlink>
      <w:r>
        <w:t xml:space="preserve">; </w:t>
      </w:r>
      <w:hyperlink r:id="rId33">
        <w:r>
          <w:rPr>
            <w:color w:val="0000EE"/>
            <w:u w:val="single"/>
          </w:rPr>
          <w:t>1Co 9.9</w:t>
        </w:r>
      </w:hyperlink>
      <w:r>
        <w:t>).</w:t>
      </w:r>
    </w:p>
    <w:p>
      <w:r/>
      <w: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hyperlink r:id="rId34">
        <w:r>
          <w:rPr>
            <w:color w:val="0000EE"/>
            <w:u w:val="single"/>
          </w:rPr>
          <w:t>2Rs 22.8–20</w:t>
        </w:r>
      </w:hyperlink>
      <w:r>
        <w:t>) e argumentam que Deuteronômio deve ser datado muito perto desta data. Alguns também atribuem adições editoriais tão tardias quanto o período após o Exílio (538 a.C. e posterior).</w:t>
      </w:r>
    </w:p>
    <w:p>
      <w:r/>
      <w: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r/>
      <w:r>
        <w:t xml:space="preserve">Em suma, o ponto de vista tradicional que Moisés foi o autor da maior parte do livro é uma conclusão razoável. Certas adições editoriais foram incluídas posteriormente (por exemplo, o relato da morte de Moisés; </w:t>
      </w:r>
      <w:hyperlink r:id="rId35">
        <w:r>
          <w:rPr>
            <w:color w:val="0000EE"/>
            <w:u w:val="single"/>
          </w:rPr>
          <w:t>34.5–12</w:t>
        </w:r>
      </w:hyperlink>
      <w:r>
        <w:t xml:space="preserve">). Veja mais </w:t>
      </w:r>
      <w:r>
        <w:t>Introdução do Livro de Gênesis,</w:t>
      </w:r>
      <w:r>
        <w:t xml:space="preserve"> “Autoria”.</w:t>
      </w:r>
    </w:p>
    <w:p>
      <w:pPr>
        <w:pStyle w:val="Heading1"/>
      </w:pPr>
      <w:r>
        <w:t>Forma Literária</w:t>
      </w:r>
    </w:p>
    <w:p>
      <w:r/>
      <w: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r/>
      <w: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r/>
      <w: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hyperlink r:id="rId36">
        <w:r>
          <w:rPr>
            <w:color w:val="0000EE"/>
            <w:u w:val="single"/>
          </w:rPr>
          <w:t>Êxodo 4.22–23</w:t>
        </w:r>
      </w:hyperlink>
      <w:r>
        <w:t>). Em vez disso, o texto da aliança regulava seu comportamento. Ao rever a aliança com esta geração de israelitas, Moisés garantiu que eles entrariam na Terra Prometida como o povo da aliança de Deus.</w:t>
      </w:r>
    </w:p>
    <w:p>
      <w:pPr>
        <w:pStyle w:val="Heading1"/>
      </w:pPr>
      <w:r>
        <w:t>Significado e mensagem</w:t>
      </w:r>
    </w:p>
    <w:p>
      <w:r/>
      <w: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r/>
      <w:r>
        <w:t>Israel tinha a liberdade de aceitar ou rejeitar a aliança de Deus (</w:t>
      </w:r>
      <w:hyperlink r:id="rId37">
        <w:r>
          <w:rPr>
            <w:color w:val="0000EE"/>
            <w:u w:val="single"/>
          </w:rPr>
          <w:t>Êx 19.7–8</w:t>
        </w:r>
      </w:hyperlink>
      <w:r>
        <w:t>). Uma vez que eles a aceitaram, a distribuição de bênçãos e maldições, conforme descrito dentro da aliança, dependia deles obedecerem ou desobedecerem (</w:t>
      </w:r>
      <w:hyperlink r:id="rId38">
        <w:r>
          <w:rPr>
            <w:color w:val="0000EE"/>
            <w:u w:val="single"/>
          </w:rPr>
          <w:t>28.1–6</w:t>
        </w:r>
      </w:hyperlink>
      <w:r>
        <w:t>,</w:t>
      </w:r>
      <w:hyperlink r:id="rId39">
        <w:r>
          <w:rPr>
            <w:color w:val="0000EE"/>
            <w:u w:val="single"/>
          </w:rPr>
          <w:t>15–19</w:t>
        </w:r>
      </w:hyperlink>
      <w:r>
        <w:t>). No entanto, até a desobediência poderia ser superada caso a nação se arrependesse, retornasse e fosse restaurada de volta à comunhão da aliança (</w:t>
      </w:r>
      <w:hyperlink r:id="rId40">
        <w:r>
          <w:rPr>
            <w:color w:val="0000EE"/>
            <w:u w:val="single"/>
          </w:rPr>
          <w:t>30.1–10</w:t>
        </w:r>
      </w:hyperlink>
      <w:r>
        <w:t xml:space="preserve">; veja também </w:t>
      </w:r>
      <w:hyperlink r:id="rId41">
        <w:r>
          <w:rPr>
            <w:color w:val="0000EE"/>
            <w:u w:val="single"/>
          </w:rPr>
          <w:t>Lv 26.40–45</w:t>
        </w:r>
      </w:hyperlink>
      <w:r>
        <w:t>).</w:t>
      </w:r>
    </w:p>
    <w:p>
      <w:r/>
      <w:r>
        <w:t>Esta aliança não fez Israel o povo de Deus; a promessa de Deus a Abraão de uma descendência nacional já havia feito isso (</w:t>
      </w:r>
      <w:hyperlink r:id="rId42">
        <w:r>
          <w:rPr>
            <w:color w:val="0000EE"/>
            <w:u w:val="single"/>
          </w:rPr>
          <w:t>Gn 17.1–8</w:t>
        </w:r>
      </w:hyperlink>
      <w:r>
        <w:t>). A aliança feita no Sinai deu a Israel o privilégio de servir ao Senhor como um reino de sacerdotes (</w:t>
      </w:r>
      <w:hyperlink r:id="rId43">
        <w:r>
          <w:rPr>
            <w:color w:val="0000EE"/>
            <w:u w:val="single"/>
          </w:rPr>
          <w:t>Êx 19.4–6</w:t>
        </w:r>
      </w:hyperlink>
      <w:r>
        <w:t>). Deuteronômio reitera os termos e condições dessa aliança: se Israel permanecesse fiel em seu papel de “reino de sacerdotes e a nação santa [de Deus]”, isso direcionaria as bênçãos de Deus para o mundo inteiro.</w:t>
      </w:r>
    </w:p>
    <w:p>
      <w:r/>
      <w: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