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lang w:val="ar_AE" w:bidi="ar_AE"/>
        </w:rPr>
        <w:t>أحداث وخلفية السِفر</w:t>
      </w:r>
    </w:p>
    <w:p>
      <w:pPr>
        <w:bidi/>
      </w:pPr>
      <w:r>
        <w:rPr>
          <w:lang w:val="ar_AE" w:bidi="ar_AE"/>
        </w:rPr>
      </w:r>
      <w:r>
        <w:rPr>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hyperlink r:id="rId13">
        <w:r>
          <w:rPr>
            <w:lang w:val="ar_AE" w:bidi="ar_AE"/>
          </w:rPr>
          <w:rPr>
            <w:color w:val="0000EE"/>
            <w:u w:val="single"/>
          </w:rPr>
          <w:t>عزرا 1:1–11</w:t>
        </w:r>
      </w:hyperlink>
      <w:r>
        <w:rPr>
          <w:lang w:val="ar_AE" w:bidi="ar_AE"/>
        </w:rPr>
        <w:t>). كان أول المهاجرين العائدين إلى أورشليم بقيادة شيشبصّر، أول حاكم للمجتمع المستعاد (</w:t>
      </w:r>
      <w:hyperlink r:id="rId14">
        <w:r>
          <w:rPr>
            <w:lang w:val="ar_AE" w:bidi="ar_AE"/>
          </w:rPr>
          <w:rPr>
            <w:color w:val="0000EE"/>
            <w:u w:val="single"/>
          </w:rPr>
          <w:t>عزرا 1:5–11</w:t>
        </w:r>
      </w:hyperlink>
      <w:r>
        <w:rPr>
          <w:lang w:val="ar_AE" w:bidi="ar_AE"/>
        </w:rPr>
        <w:t>). في حماسهم، بدأ المسبيُّون العائدون بسرعة في إعادة بناء المذبح والهيكل (</w:t>
      </w:r>
      <w:hyperlink r:id="rId15">
        <w:r>
          <w:rPr>
            <w:lang w:val="ar_AE" w:bidi="ar_AE"/>
          </w:rPr>
          <w:rPr>
            <w:color w:val="0000EE"/>
            <w:u w:val="single"/>
          </w:rPr>
          <w:t>عزرا 3:1–13</w:t>
        </w:r>
      </w:hyperlink>
      <w:r>
        <w:rPr>
          <w:lang w:val="ar_AE" w:bidi="ar_AE"/>
        </w:rPr>
        <w:t>)، لكن السكان الوثنيين المحليين هدَّدوا الإسرائيليين وأثنوا عزيمتهم عن العمل الذي كلفهم ٱلله به (</w:t>
      </w:r>
      <w:hyperlink r:id="rId16">
        <w:r>
          <w:rPr>
            <w:lang w:val="ar_AE" w:bidi="ar_AE"/>
          </w:rPr>
          <w:rPr>
            <w:color w:val="0000EE"/>
            <w:u w:val="single"/>
          </w:rPr>
          <w:t>عزرا 4:4–24</w:t>
        </w:r>
      </w:hyperlink>
      <w:r>
        <w:rPr>
          <w:lang w:val="ar_AE" w:bidi="ar_AE"/>
        </w:rPr>
        <w:t>). ظل موقع البناء مهملًا لما يقرب من عشرين عامًا بعد عودتهم.</w:t>
      </w:r>
    </w:p>
    <w:p>
      <w:pPr>
        <w:bidi/>
      </w:pPr>
      <w:r>
        <w:rPr>
          <w:lang w:val="ar_AE" w:bidi="ar_AE"/>
        </w:rPr>
      </w:r>
      <w:r>
        <w:rPr>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lang w:val="ar_AE" w:bidi="ar_AE"/>
        </w:rPr>
      </w:r>
      <w:r>
        <w:rPr>
          <w:lang w:val="ar_AE" w:bidi="ar_AE"/>
        </w:rPr>
        <w:t>عندما بدأ حجّي الوعظ في عام 520 قبل الميلاد، كانت الأرض تعاني من جفاف شديد يؤثر عليها (</w:t>
      </w:r>
      <w:hyperlink r:id="rId17">
        <w:r>
          <w:rPr>
            <w:lang w:val="ar_AE" w:bidi="ar_AE"/>
          </w:rPr>
          <w:rPr>
            <w:color w:val="0000EE"/>
            <w:u w:val="single"/>
          </w:rPr>
          <w:t>حج 1:11</w:t>
        </w:r>
      </w:hyperlink>
      <w:r>
        <w:rPr>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hyperlink r:id="rId18">
        <w:r>
          <w:rPr>
            <w:lang w:val="ar_AE" w:bidi="ar_AE"/>
          </w:rPr>
          <w:rPr>
            <w:color w:val="0000EE"/>
            <w:u w:val="single"/>
          </w:rPr>
          <w:t>1:14</w:t>
        </w:r>
      </w:hyperlink>
      <w:r>
        <w:rPr>
          <w:lang w:val="ar_AE" w:bidi="ar_AE"/>
        </w:rPr>
        <w:t xml:space="preserve">) وانتهى من المشروع في مارس 515 قبل الميلاد (انظر </w:t>
      </w:r>
      <w:hyperlink r:id="rId19">
        <w:r>
          <w:rPr>
            <w:lang w:val="ar_AE" w:bidi="ar_AE"/>
          </w:rPr>
          <w:rPr>
            <w:color w:val="0000EE"/>
            <w:u w:val="single"/>
          </w:rPr>
          <w:t>عزرا 6:15</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تتناول كل رسالة من رسائل حجَّي الأربع قضية لاهوتية مختلفة. كانت العِظة الأولى (</w:t>
      </w:r>
      <w:hyperlink r:id="rId20">
        <w:r>
          <w:rPr>
            <w:lang w:val="ar_AE" w:bidi="ar_AE"/>
          </w:rPr>
          <w:rPr>
            <w:color w:val="0000EE"/>
            <w:u w:val="single"/>
          </w:rPr>
          <w:t>الإصحاح 1</w:t>
        </w:r>
      </w:hyperlink>
      <w:r>
        <w:rPr>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lang w:val="ar_AE" w:bidi="ar_AE"/>
        </w:rPr>
      </w:r>
      <w:r>
        <w:rPr>
          <w:lang w:val="ar_AE" w:bidi="ar_AE"/>
        </w:rPr>
        <w:t>أكدتْ الرسالة الثانية (</w:t>
      </w:r>
      <w:hyperlink r:id="rId21">
        <w:r>
          <w:rPr>
            <w:lang w:val="ar_AE" w:bidi="ar_AE"/>
          </w:rPr>
          <w:rPr>
            <w:color w:val="0000EE"/>
            <w:u w:val="single"/>
          </w:rPr>
          <w:t>2:1–9</w:t>
        </w:r>
      </w:hyperlink>
      <w:r>
        <w:rPr>
          <w:lang w:val="ar_AE" w:bidi="ar_AE"/>
        </w:rPr>
        <w:t>) للمجتمع أن الله لم ينسَ وعود البرَكة والاسترداد التي قدَّمها الأنبياء السابقون. سيملأ مجد الرب الهيكل مرة أخرى (</w:t>
      </w:r>
      <w:hyperlink r:id="rId22">
        <w:r>
          <w:rPr>
            <w:lang w:val="ar_AE" w:bidi="ar_AE"/>
          </w:rPr>
          <w:rPr>
            <w:color w:val="0000EE"/>
            <w:u w:val="single"/>
          </w:rPr>
          <w:t>2:7</w:t>
        </w:r>
      </w:hyperlink>
      <w:r>
        <w:rPr>
          <w:lang w:val="ar_AE" w:bidi="ar_AE"/>
        </w:rPr>
        <w:t>). لم تكن هذه مجرد كلمات فارغة لتعزيز بقية تقية مُحاصرة بالمتاعب، بل كانت كلمات مؤكِّدة لوعد الله لشعبه المختار.</w:t>
      </w:r>
    </w:p>
    <w:p>
      <w:pPr>
        <w:bidi/>
      </w:pPr>
      <w:r>
        <w:rPr>
          <w:lang w:val="ar_AE" w:bidi="ar_AE"/>
        </w:rPr>
      </w:r>
      <w:r>
        <w:rPr>
          <w:lang w:val="ar_AE" w:bidi="ar_AE"/>
        </w:rPr>
        <w:t>تُركِّز الرسالة الثالثة (</w:t>
      </w:r>
      <w:hyperlink r:id="rId23">
        <w:r>
          <w:rPr>
            <w:lang w:val="ar_AE" w:bidi="ar_AE"/>
          </w:rPr>
          <w:rPr>
            <w:color w:val="0000EE"/>
            <w:u w:val="single"/>
          </w:rPr>
          <w:t>2:10–19</w:t>
        </w:r>
      </w:hyperlink>
      <w:r>
        <w:rPr>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hyperlink r:id="rId24">
        <w:r>
          <w:rPr>
            <w:lang w:val="ar_AE" w:bidi="ar_AE"/>
          </w:rPr>
          <w:rPr>
            <w:color w:val="0000EE"/>
            <w:u w:val="single"/>
          </w:rPr>
          <w:t>لاويين 11:44–45</w:t>
        </w:r>
      </w:hyperlink>
      <w:r>
        <w:rPr>
          <w:lang w:val="ar_AE" w:bidi="ar_AE"/>
        </w:rPr>
        <w:t>).</w:t>
      </w:r>
    </w:p>
    <w:p>
      <w:pPr>
        <w:bidi/>
      </w:pPr>
      <w:r>
        <w:rPr>
          <w:lang w:val="ar_AE" w:bidi="ar_AE"/>
        </w:rPr>
      </w:r>
      <w:r>
        <w:rPr>
          <w:lang w:val="ar_AE" w:bidi="ar_AE"/>
        </w:rPr>
        <w:t>كانت الرسالة الأخيرة وربما الأهم لحجَّي (</w:t>
      </w:r>
      <w:hyperlink r:id="rId25">
        <w:r>
          <w:rPr>
            <w:lang w:val="ar_AE" w:bidi="ar_AE"/>
          </w:rPr>
          <w:rPr>
            <w:color w:val="0000EE"/>
            <w:u w:val="single"/>
          </w:rPr>
          <w:t>حجَّي 2:20–23</w:t>
        </w:r>
      </w:hyperlink>
      <w:r>
        <w:rPr>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hyperlink r:id="rId26">
        <w:r>
          <w:rPr>
            <w:lang w:val="ar_AE" w:bidi="ar_AE"/>
          </w:rPr>
          <w:rPr>
            <w:color w:val="0000EE"/>
            <w:u w:val="single"/>
          </w:rPr>
          <w:t>إرميا 23:5؛</w:t>
        </w:r>
      </w:hyperlink>
      <w:r>
        <w:rPr>
          <w:lang w:val="ar_AE" w:bidi="ar_AE"/>
        </w:rPr>
        <w:t xml:space="preserve"> </w:t>
      </w:r>
      <w:hyperlink r:id="rId27">
        <w:r>
          <w:rPr>
            <w:lang w:val="ar_AE" w:bidi="ar_AE"/>
          </w:rPr>
          <w:rPr>
            <w:color w:val="0000EE"/>
            <w:u w:val="single"/>
          </w:rPr>
          <w:t>33:15؛</w:t>
        </w:r>
      </w:hyperlink>
      <w:r>
        <w:rPr>
          <w:lang w:val="ar_AE" w:bidi="ar_AE"/>
        </w:rPr>
        <w:t xml:space="preserve"> </w:t>
      </w:r>
      <w:hyperlink r:id="rId28">
        <w:r>
          <w:rPr>
            <w:lang w:val="ar_AE" w:bidi="ar_AE"/>
          </w:rPr>
          <w:rPr>
            <w:color w:val="0000EE"/>
            <w:u w:val="single"/>
          </w:rPr>
          <w:t>حزقيال 37:24</w:t>
        </w:r>
      </w:hyperlink>
      <w:r>
        <w:rPr>
          <w:lang w:val="ar_AE" w:bidi="ar_AE"/>
        </w:rPr>
        <w:t>). كان زربّابل من نسل الملِك داود. ميَّزَ تكليفه ليكون "خاتم التوقيع" للربِّ بداية استعادة الله لإسرائيل (</w:t>
      </w:r>
      <w:hyperlink r:id="rId29">
        <w:r>
          <w:rPr>
            <w:lang w:val="ar_AE" w:bidi="ar_AE"/>
          </w:rPr>
          <w:rPr>
            <w:color w:val="0000EE"/>
            <w:u w:val="single"/>
          </w:rPr>
          <w:t>حج 2:23؛</w:t>
        </w:r>
      </w:hyperlink>
      <w:r>
        <w:rPr>
          <w:lang w:val="ar_AE" w:bidi="ar_AE"/>
        </w:rPr>
        <w:t xml:space="preserve"> قارن </w:t>
      </w:r>
      <w:hyperlink r:id="rId30">
        <w:r>
          <w:rPr>
            <w:lang w:val="ar_AE" w:bidi="ar_AE"/>
          </w:rPr>
          <w:rPr>
            <w:color w:val="0000EE"/>
            <w:u w:val="single"/>
          </w:rPr>
          <w:t>إرميا 22:24</w:t>
        </w:r>
      </w:hyperlink>
      <w:r>
        <w:rPr>
          <w:lang w:val="ar_AE" w:bidi="ar_AE"/>
        </w:rPr>
        <w:t>) وأشار إلى يسوع المسيح، نسل داود (</w:t>
      </w:r>
      <w:hyperlink r:id="rId31">
        <w:r>
          <w:rPr>
            <w:lang w:val="ar_AE" w:bidi="ar_AE"/>
          </w:rPr>
          <w:rPr>
            <w:color w:val="0000EE"/>
            <w:u w:val="single"/>
          </w:rPr>
          <w:t>متى 1:1</w:t>
        </w:r>
      </w:hyperlink>
      <w:r>
        <w:rPr>
          <w:lang w:val="ar_AE" w:bidi="ar_AE"/>
        </w:rPr>
        <w:t>) الذي سيحكم بالبِرّ إلى الأبد.</w:t>
      </w:r>
    </w:p>
    <w:p>
      <w:pPr>
        <w:pStyle w:val="Heading2"/>
        <w:bidi/>
      </w:pPr>
      <w:r>
        <w:rPr>
          <w:lang w:val="ar_AE" w:bidi="ar_AE"/>
        </w:rPr>
        <w:t>كاتب السِفر</w:t>
      </w:r>
    </w:p>
    <w:p>
      <w:pPr>
        <w:bidi/>
      </w:pPr>
      <w:r>
        <w:rPr>
          <w:lang w:val="ar_AE" w:bidi="ar_AE"/>
        </w:rPr>
      </w:r>
      <w:r>
        <w:rPr>
          <w:lang w:val="ar_AE" w:bidi="ar_AE"/>
        </w:rPr>
        <w:t>لا يذكر سِفر حجَّي شيئًا عن مؤلفه، ولكن من المحتمل أن يكون حجَّي قد كتب عظاته بذاته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3</w:t>
        </w:r>
      </w:hyperlink>
      <w:r>
        <w:rPr>
          <w:lang w:val="ar_AE" w:bidi="ar_AE"/>
        </w:rPr>
        <w:t xml:space="preserve">). لا يسجل الكتاب المقدس أية معلومات تخص السيرة الذاتية عن النبي حجَّي، لكن خدمته موثَّقة في </w:t>
      </w:r>
      <w:hyperlink r:id="rId34">
        <w:r>
          <w:rPr>
            <w:lang w:val="ar_AE" w:bidi="ar_AE"/>
          </w:rPr>
          <w:rPr>
            <w:color w:val="0000EE"/>
            <w:u w:val="single"/>
          </w:rPr>
          <w:t>عزرا 6:14</w:t>
        </w:r>
      </w:hyperlink>
      <w:r>
        <w:rPr>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lang w:val="ar_AE" w:bidi="ar_AE"/>
        </w:rPr>
        <w:t>تاريخ الكتابة</w:t>
      </w:r>
    </w:p>
    <w:p>
      <w:pPr>
        <w:bidi/>
      </w:pPr>
      <w:r>
        <w:rPr>
          <w:lang w:val="ar_AE" w:bidi="ar_AE"/>
        </w:rPr>
      </w:r>
      <w:r>
        <w:rPr>
          <w:lang w:val="ar_AE" w:bidi="ar_AE"/>
        </w:rPr>
        <w:t xml:space="preserve">قام حجَّي بتوصيل رسائله بين أغسطس وديسمبر من عام 520 قبل الميلاد، في السنة الثانية من حكم داريوس الأول، ملِك فارس (انظر </w:t>
      </w:r>
      <w:hyperlink r:id="rId32">
        <w:r>
          <w:rPr>
            <w:lang w:val="ar_AE" w:bidi="ar_AE"/>
          </w:rPr>
          <w:rPr>
            <w:color w:val="0000EE"/>
            <w:u w:val="single"/>
          </w:rPr>
          <w:t>حج 1:1</w:t>
        </w:r>
      </w:hyperlink>
      <w:r>
        <w:rPr>
          <w:lang w:val="ar_AE" w:bidi="ar_AE"/>
        </w:rPr>
        <w:t xml:space="preserve">، </w:t>
      </w:r>
      <w:hyperlink r:id="rId35">
        <w:r>
          <w:rPr>
            <w:lang w:val="ar_AE" w:bidi="ar_AE"/>
          </w:rPr>
          <w:rPr>
            <w:color w:val="0000EE"/>
            <w:u w:val="single"/>
          </w:rPr>
          <w:t>15</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تزامنت خدمة حجَّي في يهوذا بعد السبي مع خدمة زكريّا، الذي بدأ الوعظ في أورشليم في نوفمبر من ذلك العام (انظر </w:t>
      </w:r>
      <w:hyperlink r:id="rId38">
        <w:r>
          <w:rPr>
            <w:lang w:val="ar_AE" w:bidi="ar_AE"/>
          </w:rPr>
          <w:rPr>
            <w:color w:val="0000EE"/>
            <w:u w:val="single"/>
          </w:rPr>
          <w:t>زك 1:1</w:t>
        </w:r>
      </w:hyperlink>
      <w:r>
        <w:rPr>
          <w:lang w:val="ar_AE" w:bidi="ar_AE"/>
        </w:rPr>
        <w:t>).</w:t>
      </w:r>
    </w:p>
    <w:p>
      <w:pPr>
        <w:pStyle w:val="Heading2"/>
        <w:bidi/>
      </w:pPr>
      <w:r>
        <w:rPr>
          <w:lang w:val="ar_AE" w:bidi="ar_AE"/>
        </w:rPr>
        <w:t>نوع الأدب المُستَخدم في الكتابة</w:t>
      </w:r>
    </w:p>
    <w:p>
      <w:pPr>
        <w:bidi/>
      </w:pPr>
      <w:r>
        <w:rPr>
          <w:lang w:val="ar_AE" w:bidi="ar_AE"/>
        </w:rPr>
      </w:r>
      <w:r>
        <w:rPr>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hyperlink r:id="rId39">
        <w:r>
          <w:rPr>
            <w:lang w:val="ar_AE" w:bidi="ar_AE"/>
          </w:rPr>
          <w:rPr>
            <w:color w:val="0000EE"/>
            <w:u w:val="single"/>
          </w:rPr>
          <w:t>1:4؛</w:t>
        </w:r>
      </w:hyperlink>
      <w:r>
        <w:rPr>
          <w:lang w:val="ar_AE" w:bidi="ar_AE"/>
        </w:rPr>
        <w:t xml:space="preserve"> </w:t>
      </w:r>
      <w:hyperlink r:id="rId40">
        <w:r>
          <w:rPr>
            <w:lang w:val="ar_AE" w:bidi="ar_AE"/>
          </w:rPr>
          <w:rPr>
            <w:color w:val="0000EE"/>
            <w:u w:val="single"/>
          </w:rPr>
          <w:t>2:3،</w:t>
        </w:r>
      </w:hyperlink>
      <w:r>
        <w:rPr>
          <w:lang w:val="ar_AE" w:bidi="ar_AE"/>
        </w:rPr>
        <w:t xml:space="preserve"> </w:t>
      </w:r>
      <w:hyperlink r:id="rId41">
        <w:r>
          <w:rPr>
            <w:lang w:val="ar_AE" w:bidi="ar_AE"/>
          </w:rPr>
          <w:rPr>
            <w:color w:val="0000EE"/>
            <w:u w:val="single"/>
          </w:rPr>
          <w:t>19</w:t>
        </w:r>
      </w:hyperlink>
      <w:r>
        <w:rPr>
          <w:lang w:val="ar_AE" w:bidi="ar_AE"/>
        </w:rPr>
        <w:t>). يكرر الكلمات أو العبارات لتحديد نَغْمَة عظاته (مثل تكرار "</w:t>
      </w:r>
      <w:r>
        <w:rPr>
          <w:lang w:val="ar_AE" w:bidi="ar_AE"/>
        </w:rPr>
        <w:t>ٱجْعَلُوا قَلْبَكُمْ عَلَى طُرُقِكُمْ</w:t>
      </w:r>
      <w:r>
        <w:rPr>
          <w:lang w:val="ar_AE" w:bidi="ar_AE"/>
        </w:rPr>
        <w:t xml:space="preserve">"، </w:t>
      </w:r>
      <w:hyperlink r:id="rId42">
        <w:r>
          <w:rPr>
            <w:lang w:val="ar_AE" w:bidi="ar_AE"/>
          </w:rPr>
          <w:rPr>
            <w:color w:val="0000EE"/>
            <w:u w:val="single"/>
          </w:rPr>
          <w:t>1:5،</w:t>
        </w:r>
      </w:hyperlink>
      <w:r>
        <w:rPr>
          <w:lang w:val="ar_AE" w:bidi="ar_AE"/>
        </w:rPr>
        <w:t xml:space="preserve"> </w:t>
      </w:r>
      <w:hyperlink r:id="rId43">
        <w:r>
          <w:rPr>
            <w:lang w:val="ar_AE" w:bidi="ar_AE"/>
          </w:rPr>
          <w:rPr>
            <w:color w:val="0000EE"/>
            <w:u w:val="single"/>
          </w:rPr>
          <w:t>7؛</w:t>
        </w:r>
      </w:hyperlink>
      <w:r>
        <w:rPr>
          <w:lang w:val="ar_AE" w:bidi="ar_AE"/>
        </w:rPr>
        <w:t xml:space="preserve"> </w:t>
      </w:r>
      <w:hyperlink r:id="rId44">
        <w:r>
          <w:rPr>
            <w:lang w:val="ar_AE" w:bidi="ar_AE"/>
          </w:rPr>
          <w:rPr>
            <w:color w:val="0000EE"/>
            <w:u w:val="single"/>
          </w:rPr>
          <w:t>2:15</w:t>
        </w:r>
      </w:hyperlink>
      <w:r>
        <w:rPr>
          <w:lang w:val="ar_AE" w:bidi="ar_AE"/>
        </w:rPr>
        <w:t>) ويستخدم التلاعب بالألفاظ في بعض الأحيان (مثل العبرية خَرِب، "خراب" [</w:t>
      </w:r>
      <w:hyperlink r:id="rId39">
        <w:r>
          <w:rPr>
            <w:lang w:val="ar_AE" w:bidi="ar_AE"/>
          </w:rPr>
          <w:rPr>
            <w:color w:val="0000EE"/>
            <w:u w:val="single"/>
          </w:rPr>
          <w:t>1:4</w:t>
        </w:r>
      </w:hyperlink>
      <w:r>
        <w:rPr>
          <w:lang w:val="ar_AE" w:bidi="ar_AE"/>
        </w:rPr>
        <w:t>] وخورِب، "جفاف" [</w:t>
      </w:r>
      <w:hyperlink r:id="rId17">
        <w:r>
          <w:rPr>
            <w:lang w:val="ar_AE" w:bidi="ar_AE"/>
          </w:rPr>
          <w:rPr>
            <w:color w:val="0000EE"/>
            <w:u w:val="single"/>
          </w:rPr>
          <w:t>1:11</w:t>
        </w:r>
      </w:hyperlink>
      <w:r>
        <w:rPr>
          <w:lang w:val="ar_AE" w:bidi="ar_AE"/>
        </w:rPr>
        <w:t>]).</w:t>
      </w:r>
    </w:p>
    <w:p>
      <w:pPr>
        <w:bidi/>
      </w:pPr>
      <w:r>
        <w:rPr>
          <w:lang w:val="ar_AE" w:bidi="ar_AE"/>
        </w:rPr>
      </w:r>
      <w:r>
        <w:rPr>
          <w:lang w:val="ar_AE" w:bidi="ar_AE"/>
        </w:rPr>
        <w:t xml:space="preserve">من المحتمل أن تكون الرسائل المكتوبة لحجَّي مُلخَّصات لعظات أطول. تُعدُّ الرسائل </w:t>
      </w:r>
      <w:r>
        <w:rPr>
          <w:i/>
          <w:lang w:val="ar_AE" w:bidi="ar_AE"/>
        </w:rPr>
        <w:t>نبوءات</w:t>
      </w:r>
      <w:r>
        <w:rPr>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"الرسالة" ("أعطى/أرسل ٱلرَّب رسالة"،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"ٱلله كمتحدث" ("يقول ٱلرّبّ"، </w:t>
      </w:r>
      <w:hyperlink r:id="rId43">
        <w:r>
          <w:rPr>
            <w:lang w:val="ar_AE" w:bidi="ar_AE"/>
          </w:rPr>
          <w:rPr>
            <w:color w:val="0000EE"/>
            <w:u w:val="single"/>
          </w:rPr>
          <w:t>1:7،</w:t>
        </w:r>
      </w:hyperlink>
      <w:r>
        <w:rPr>
          <w:lang w:val="ar_AE" w:bidi="ar_AE"/>
        </w:rPr>
        <w:t xml:space="preserve"> </w:t>
      </w:r>
      <w:hyperlink r:id="rId46">
        <w:r>
          <w:rPr>
            <w:lang w:val="ar_AE" w:bidi="ar_AE"/>
          </w:rPr>
          <w:rPr>
            <w:color w:val="0000EE"/>
            <w:u w:val="single"/>
          </w:rPr>
          <w:t>13؛</w:t>
        </w:r>
      </w:hyperlink>
      <w:r>
        <w:rPr>
          <w:lang w:val="ar_AE" w:bidi="ar_AE"/>
        </w:rPr>
        <w:t xml:space="preserve"> </w:t>
      </w:r>
      <w:hyperlink r:id="rId47">
        <w:r>
          <w:rPr>
            <w:lang w:val="ar_AE" w:bidi="ar_AE"/>
          </w:rPr>
          <w:rPr>
            <w:color w:val="0000EE"/>
            <w:u w:val="single"/>
          </w:rPr>
          <w:t>2:4</w:t>
        </w:r>
      </w:hyperlink>
      <w:r>
        <w:rPr>
          <w:lang w:val="ar_AE" w:bidi="ar_AE"/>
        </w:rPr>
        <w:t xml:space="preserve">)، وصيغة "عَلاقة العهد" ("أنا معكم"، </w:t>
      </w:r>
      <w:hyperlink r:id="rId48">
        <w:r>
          <w:rPr>
            <w:lang w:val="ar_AE" w:bidi="ar_AE"/>
          </w:rPr>
          <w:rPr>
            <w:color w:val="0000EE"/>
            <w:u w:val="single"/>
          </w:rPr>
          <w:t>2:4–5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lang w:val="ar_AE" w:bidi="ar_AE"/>
        </w:rPr>
      </w:r>
      <w:r>
        <w:rPr>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lang w:val="ar_AE" w:bidi="ar_AE"/>
        </w:rPr>
      </w:r>
      <w:r>
        <w:rPr>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hyperlink r:id="rId49">
        <w:r>
          <w:rPr>
            <w:lang w:val="ar_AE" w:bidi="ar_AE"/>
          </w:rPr>
          <w:rPr>
            <w:color w:val="0000EE"/>
            <w:u w:val="single"/>
          </w:rPr>
          <w:t>1:13–14؛</w:t>
        </w:r>
      </w:hyperlink>
      <w:r>
        <w:rPr>
          <w:lang w:val="ar_AE" w:bidi="ar_AE"/>
        </w:rPr>
        <w:t xml:space="preserve"> </w:t>
      </w:r>
      <w:hyperlink r:id="rId48">
        <w:r>
          <w:rPr>
            <w:lang w:val="ar_AE" w:bidi="ar_AE"/>
          </w:rPr>
          <w:rPr>
            <w:color w:val="0000EE"/>
            <w:u w:val="single"/>
          </w:rPr>
          <w:t>2:4–5</w:t>
        </w:r>
      </w:hyperlink>
      <w:r>
        <w:rPr>
          <w:lang w:val="ar_AE" w:bidi="ar_AE"/>
        </w:rPr>
        <w:t>)، وهو موضوع يتشاركه مع معاصره زكريّا (</w:t>
      </w:r>
      <w:hyperlink r:id="rId50">
        <w:r>
          <w:rPr>
            <w:lang w:val="ar_AE" w:bidi="ar_AE"/>
          </w:rPr>
          <w:rPr>
            <w:color w:val="0000EE"/>
            <w:u w:val="single"/>
          </w:rPr>
          <w:t>زك 1:16؛</w:t>
        </w:r>
      </w:hyperlink>
      <w:r>
        <w:rPr>
          <w:lang w:val="ar_AE" w:bidi="ar_AE"/>
        </w:rPr>
        <w:t xml:space="preserve"> </w:t>
      </w:r>
      <w:hyperlink r:id="rId51">
        <w:r>
          <w:rPr>
            <w:lang w:val="ar_AE" w:bidi="ar_AE"/>
          </w:rPr>
          <w:rPr>
            <w:color w:val="0000EE"/>
            <w:u w:val="single"/>
          </w:rPr>
          <w:t>8:23؛</w:t>
        </w:r>
      </w:hyperlink>
      <w:r>
        <w:rPr>
          <w:lang w:val="ar_AE" w:bidi="ar_AE"/>
        </w:rPr>
        <w:t xml:space="preserve"> انظر أيضًا </w:t>
      </w:r>
      <w:hyperlink r:id="rId52">
        <w:r>
          <w:rPr>
            <w:lang w:val="ar_AE" w:bidi="ar_AE"/>
          </w:rPr>
          <w:rPr>
            <w:color w:val="0000EE"/>
            <w:u w:val="single"/>
          </w:rPr>
          <w:t>حز 37:27–28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