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lang w:val="ar_AE" w:bidi="ar_AE"/>
        </w:rPr>
        <w:t>أحداث وخلفية السِفر</w:t>
      </w:r>
    </w:p>
    <w:p>
      <w:pPr>
        <w:bidi/>
      </w:pPr>
      <w:r>
        <w:rPr>
          <w:lang w:val="ar_AE" w:bidi="ar_AE"/>
        </w:rPr>
      </w:r>
      <w:r>
        <w:rPr>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hyperlink r:id="rId13">
        <w:r>
          <w:rPr>
            <w:lang w:val="ar_AE" w:bidi="ar_AE"/>
          </w:rPr>
          <w:rPr>
            <w:color w:val="0000EE"/>
            <w:u w:val="single"/>
          </w:rPr>
          <w:t>عزرا 1:1–11</w:t>
        </w:r>
      </w:hyperlink>
      <w:r>
        <w:rPr>
          <w:lang w:val="ar_AE" w:bidi="ar_AE"/>
        </w:rPr>
        <w:t>). كان أول العائدين من اليهود إلى أورشليم بقيادة شيشبصّر أول حاكم للمجتمع اليهودي العائد من السبي (</w:t>
      </w:r>
      <w:hyperlink r:id="rId14">
        <w:r>
          <w:rPr>
            <w:lang w:val="ar_AE" w:bidi="ar_AE"/>
          </w:rPr>
          <w:rPr>
            <w:color w:val="0000EE"/>
            <w:u w:val="single"/>
          </w:rPr>
          <w:t>عزرا 1:5–11</w:t>
        </w:r>
      </w:hyperlink>
      <w:r>
        <w:rPr>
          <w:lang w:val="ar_AE" w:bidi="ar_AE"/>
        </w:rPr>
        <w:t xml:space="preserve">)، الذي وضع خلال مدّة حكمه أساسات الهيكل الجديد (538–536 قبل الميلاد؛ انظر </w:t>
      </w:r>
      <w:hyperlink r:id="rId15">
        <w:r>
          <w:rPr>
            <w:lang w:val="ar_AE" w:bidi="ar_AE"/>
          </w:rPr>
          <w:rPr>
            <w:color w:val="0000EE"/>
            <w:u w:val="single"/>
          </w:rPr>
          <w:t>عزرا 5:16</w:t>
        </w:r>
      </w:hyperlink>
      <w:r>
        <w:rPr>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hyperlink r:id="rId16">
        <w:r>
          <w:rPr>
            <w:lang w:val="ar_AE" w:bidi="ar_AE"/>
          </w:rPr>
          <w:rPr>
            <w:color w:val="0000EE"/>
            <w:u w:val="single"/>
          </w:rPr>
          <w:t>حجَّي 1–2</w:t>
        </w:r>
      </w:hyperlink>
      <w:r>
        <w:rPr>
          <w:lang w:val="ar_AE" w:bidi="ar_AE"/>
        </w:rPr>
        <w:t>).</w:t>
      </w:r>
    </w:p>
    <w:p>
      <w:pPr>
        <w:bidi/>
      </w:pPr>
      <w:r>
        <w:rPr>
          <w:lang w:val="ar_AE" w:bidi="ar_AE"/>
        </w:rPr>
      </w:r>
      <w:r>
        <w:rPr>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hyperlink r:id="rId17">
        <w:r>
          <w:rPr>
            <w:lang w:val="ar_AE" w:bidi="ar_AE"/>
          </w:rPr>
          <w:rPr>
            <w:color w:val="0000EE"/>
            <w:u w:val="single"/>
          </w:rPr>
          <w:t>حج 1:12–15</w:t>
        </w:r>
      </w:hyperlink>
      <w:r>
        <w:rPr>
          <w:lang w:val="ar_AE" w:bidi="ar_AE"/>
        </w:rPr>
        <w:t>). أكمل النبي زكريّا رسالة حجَّي بالدعوة إلى التجديد الروحي لشعب الله (</w:t>
      </w:r>
      <w:hyperlink r:id="rId18">
        <w:r>
          <w:rPr>
            <w:lang w:val="ar_AE" w:bidi="ar_AE"/>
          </w:rPr>
          <w:rPr>
            <w:color w:val="0000EE"/>
            <w:u w:val="single"/>
          </w:rPr>
          <w:t>1:3–6؛</w:t>
        </w:r>
      </w:hyperlink>
      <w:r>
        <w:rPr>
          <w:lang w:val="ar_AE" w:bidi="ar_AE"/>
        </w:rPr>
        <w:t xml:space="preserve"> </w:t>
      </w:r>
      <w:hyperlink r:id="rId19">
        <w:r>
          <w:rPr>
            <w:lang w:val="ar_AE" w:bidi="ar_AE"/>
          </w:rPr>
          <w:rPr>
            <w:color w:val="0000EE"/>
            <w:u w:val="single"/>
          </w:rPr>
          <w:t>7:8–14</w:t>
        </w:r>
      </w:hyperlink>
      <w:r>
        <w:rPr>
          <w:lang w:val="ar_AE" w:bidi="ar_AE"/>
        </w:rPr>
        <w:t>). واستمرت خدمة زكريّا في أورشليم مدة لا تقل عن سنتَين. وقد اكتمل بناء الهيكل في مارس 515 قبل الميلاد خلال حكم الملك الفارسي داريوس الأول (</w:t>
      </w:r>
      <w:hyperlink r:id="rId20">
        <w:r>
          <w:rPr>
            <w:lang w:val="ar_AE" w:bidi="ar_AE"/>
          </w:rPr>
          <w:rPr>
            <w:color w:val="0000EE"/>
            <w:u w:val="single"/>
          </w:rPr>
          <w:t>عزرا 5:2؛</w:t>
        </w:r>
      </w:hyperlink>
      <w:r>
        <w:rPr>
          <w:lang w:val="ar_AE" w:bidi="ar_AE"/>
        </w:rPr>
        <w:t xml:space="preserve"> </w:t>
      </w:r>
      <w:hyperlink r:id="rId21">
        <w:r>
          <w:rPr>
            <w:lang w:val="ar_AE" w:bidi="ar_AE"/>
          </w:rPr>
          <w:rPr>
            <w:color w:val="0000EE"/>
            <w:u w:val="single"/>
          </w:rPr>
          <w:t>6:13–18</w:t>
        </w:r>
      </w:hyperlink>
      <w:r>
        <w:rPr>
          <w:lang w:val="ar_AE" w:bidi="ar_AE"/>
        </w:rPr>
        <w:t>).</w:t>
      </w:r>
    </w:p>
    <w:p>
      <w:pPr>
        <w:pStyle w:val="Heading2"/>
        <w:bidi/>
      </w:pPr>
      <w:r>
        <w:rPr>
          <w:lang w:val="ar_AE" w:bidi="ar_AE"/>
        </w:rPr>
        <w:t>الخُلاصة</w:t>
      </w:r>
    </w:p>
    <w:p>
      <w:pPr>
        <w:bidi/>
      </w:pPr>
      <w:r>
        <w:rPr>
          <w:lang w:val="ar_AE" w:bidi="ar_AE"/>
        </w:rPr>
      </w:r>
      <w:r>
        <w:rPr>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lang w:val="ar_AE" w:bidi="ar_AE"/>
        </w:rPr>
      </w:r>
      <w:r>
        <w:rPr>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hyperlink r:id="rId22">
        <w:r>
          <w:rPr>
            <w:lang w:val="ar_AE" w:bidi="ar_AE"/>
          </w:rPr>
          <w:rPr>
            <w:color w:val="0000EE"/>
            <w:u w:val="single"/>
          </w:rPr>
          <w:t>زك 1:3–5</w:t>
        </w:r>
      </w:hyperlink>
      <w:r>
        <w:rPr>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hyperlink r:id="rId23">
        <w:r>
          <w:rPr>
            <w:lang w:val="ar_AE" w:bidi="ar_AE"/>
          </w:rPr>
          <w:rPr>
            <w:color w:val="0000EE"/>
            <w:u w:val="single"/>
          </w:rPr>
          <w:t>6:9–15؛</w:t>
        </w:r>
      </w:hyperlink>
      <w:r>
        <w:rPr>
          <w:lang w:val="ar_AE" w:bidi="ar_AE"/>
        </w:rPr>
        <w:t xml:space="preserve"> </w:t>
      </w:r>
      <w:hyperlink r:id="rId24">
        <w:r>
          <w:rPr>
            <w:lang w:val="ar_AE" w:bidi="ar_AE"/>
          </w:rPr>
          <w:rPr>
            <w:color w:val="0000EE"/>
            <w:u w:val="single"/>
          </w:rPr>
          <w:t>8:13</w:t>
        </w:r>
      </w:hyperlink>
      <w:r>
        <w:rPr>
          <w:lang w:val="ar_AE" w:bidi="ar_AE"/>
        </w:rPr>
        <w:t>).</w:t>
      </w:r>
    </w:p>
    <w:p>
      <w:pPr>
        <w:bidi/>
      </w:pPr>
      <w:r>
        <w:rPr>
          <w:lang w:val="ar_AE" w:bidi="ar_AE"/>
        </w:rPr>
      </w:r>
      <w:r>
        <w:rPr>
          <w:lang w:val="ar_AE" w:bidi="ar_AE"/>
        </w:rPr>
        <w:t>كانت خِطَّة الله لفعل الخير لأورشليم تعتمد على التزام المجتمع بقوانين الله، خاصة تلك التي تحكم معاملتهم لبعضهم بعضًا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hyperlink r:id="rId27">
        <w:r>
          <w:rPr>
            <w:lang w:val="ar_AE" w:bidi="ar_AE"/>
          </w:rPr>
          <w:rPr>
            <w:color w:val="0000EE"/>
            <w:u w:val="single"/>
          </w:rPr>
          <w:t>7:9–10</w:t>
        </w:r>
      </w:hyperlink>
      <w:r>
        <w:rPr>
          <w:lang w:val="ar_AE" w:bidi="ar_AE"/>
        </w:rPr>
        <w:t xml:space="preserve">؛ </w:t>
      </w:r>
      <w:hyperlink r:id="rId28">
        <w:r>
          <w:rPr>
            <w:lang w:val="ar_AE" w:bidi="ar_AE"/>
          </w:rPr>
          <w:rPr>
            <w:color w:val="0000EE"/>
            <w:u w:val="single"/>
          </w:rPr>
          <w:t>14:16–21</w:t>
        </w:r>
      </w:hyperlink>
      <w:r>
        <w:rPr>
          <w:lang w:val="ar_AE" w:bidi="ar_AE"/>
        </w:rPr>
        <w:t>).</w:t>
      </w:r>
    </w:p>
    <w:p>
      <w:pPr>
        <w:pStyle w:val="Heading2"/>
        <w:bidi/>
      </w:pPr>
      <w:r>
        <w:rPr>
          <w:lang w:val="ar_AE" w:bidi="ar_AE"/>
        </w:rPr>
        <w:t>كتابة السِفر</w:t>
      </w:r>
    </w:p>
    <w:p>
      <w:pPr>
        <w:bidi/>
      </w:pPr>
      <w:r>
        <w:rPr>
          <w:lang w:val="ar_AE" w:bidi="ar_AE"/>
        </w:rPr>
      </w:r>
      <w:r>
        <w:rPr>
          <w:lang w:val="ar_AE" w:bidi="ar_AE"/>
        </w:rPr>
        <w:t xml:space="preserve">لا يذكر سِفر زكريّا شيئًا عن كاتبه، ولكن من المحتمل أن زكريّا هو مَن كتب عظاته بنفسه. ويصف مطلع السفر في </w:t>
      </w:r>
      <w:hyperlink r:id="rId29">
        <w:r>
          <w:rPr>
            <w:lang w:val="ar_AE" w:bidi="ar_AE"/>
          </w:rPr>
          <w:rPr>
            <w:color w:val="0000EE"/>
            <w:u w:val="single"/>
          </w:rPr>
          <w:t>1:1</w:t>
        </w:r>
      </w:hyperlink>
      <w:r>
        <w:rPr>
          <w:lang w:val="ar_AE" w:bidi="ar_AE"/>
        </w:rPr>
        <w:t xml:space="preserve"> أنه كان ابن بَرَخِيّا وحفيد عِدّو، كما يؤكد عزرا ذلك (</w:t>
      </w:r>
      <w:hyperlink r:id="rId30">
        <w:r>
          <w:rPr>
            <w:lang w:val="ar_AE" w:bidi="ar_AE"/>
          </w:rPr>
          <w:rPr>
            <w:color w:val="0000EE"/>
            <w:u w:val="single"/>
          </w:rPr>
          <w:t>عزرا 5:1؛</w:t>
        </w:r>
      </w:hyperlink>
      <w:r>
        <w:rPr>
          <w:lang w:val="ar_AE" w:bidi="ar_AE"/>
        </w:rPr>
        <w:t xml:space="preserve"> </w:t>
      </w:r>
      <w:hyperlink r:id="rId31">
        <w:r>
          <w:rPr>
            <w:lang w:val="ar_AE" w:bidi="ar_AE"/>
          </w:rPr>
          <w:rPr>
            <w:color w:val="0000EE"/>
            <w:u w:val="single"/>
          </w:rPr>
          <w:t>6:14</w:t>
        </w:r>
      </w:hyperlink>
      <w:r>
        <w:rPr>
          <w:lang w:val="ar_AE" w:bidi="ar_AE"/>
        </w:rPr>
        <w:t>). ويخبرنا نحميا أنَّ عدّو عاد إلى أورشليم من السبي في بابل مع زربّابل ويشوع (</w:t>
      </w:r>
      <w:hyperlink r:id="rId32">
        <w:r>
          <w:rPr>
            <w:lang w:val="ar_AE" w:bidi="ar_AE"/>
          </w:rPr>
          <w:rPr>
            <w:color w:val="0000EE"/>
            <w:u w:val="single"/>
          </w:rPr>
          <w:t>نحميا 12:4</w:t>
        </w:r>
      </w:hyperlink>
      <w:r>
        <w:rPr>
          <w:lang w:val="ar_AE" w:bidi="ar_AE"/>
        </w:rPr>
        <w:t>). كما يذكر نحميا أيضًا أن زكريّا كان رئيس لعائلة الكهنة المنحدرين من عِدّو (</w:t>
      </w:r>
      <w:hyperlink r:id="rId33">
        <w:r>
          <w:rPr>
            <w:lang w:val="ar_AE" w:bidi="ar_AE"/>
          </w:rPr>
          <w:rPr>
            <w:color w:val="0000EE"/>
            <w:u w:val="single"/>
          </w:rPr>
          <w:t>نحميا 12:1،</w:t>
        </w:r>
      </w:hyperlink>
      <w:r>
        <w:rPr>
          <w:lang w:val="ar_AE" w:bidi="ar_AE"/>
        </w:rPr>
        <w:t xml:space="preserve"> </w:t>
      </w:r>
      <w:hyperlink r:id="rId34">
        <w:r>
          <w:rPr>
            <w:lang w:val="ar_AE" w:bidi="ar_AE"/>
          </w:rPr>
          <w:rPr>
            <w:color w:val="0000EE"/>
            <w:u w:val="single"/>
          </w:rPr>
          <w:t>16</w:t>
        </w:r>
      </w:hyperlink>
      <w:r>
        <w:rPr>
          <w:lang w:val="ar_AE" w:bidi="ar_AE"/>
        </w:rPr>
        <w:t>)، مما يشير إلى أن زكريّا كان كاهنًا ونبيًا في أورشليم.</w:t>
      </w:r>
    </w:p>
    <w:p>
      <w:pPr>
        <w:pStyle w:val="Heading2"/>
        <w:bidi/>
      </w:pPr>
      <w:r>
        <w:rPr>
          <w:lang w:val="ar_AE" w:bidi="ar_AE"/>
        </w:rPr>
        <w:t>تاريخ الكتابة</w:t>
      </w:r>
    </w:p>
    <w:p>
      <w:pPr>
        <w:bidi/>
      </w:pPr>
      <w:r>
        <w:rPr>
          <w:lang w:val="ar_AE" w:bidi="ar_AE"/>
        </w:rPr>
      </w:r>
      <w:r>
        <w:rPr>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hyperlink r:id="rId35">
        <w:r>
          <w:rPr>
            <w:lang w:val="ar_AE" w:bidi="ar_AE"/>
          </w:rPr>
          <w:rPr>
            <w:color w:val="0000EE"/>
            <w:u w:val="single"/>
          </w:rPr>
          <w:t>الإصحاحات 1–8</w:t>
        </w:r>
      </w:hyperlink>
      <w:r>
        <w:rPr>
          <w:lang w:val="ar_AE" w:bidi="ar_AE"/>
        </w:rPr>
        <w:t xml:space="preserve">) كُتب على الأرجح بين 520 و515 قبل الميلاد، حيث لا يُشير زكريّا إلى اكتمال وتكريس هيكل أورشليم في عام 515 قبل الميلاد (انظر </w:t>
      </w:r>
      <w:hyperlink r:id="rId36">
        <w:r>
          <w:rPr>
            <w:lang w:val="ar_AE" w:bidi="ar_AE"/>
          </w:rPr>
          <w:rPr>
            <w:color w:val="0000EE"/>
            <w:u w:val="single"/>
          </w:rPr>
          <w:t>عزرا 6:13–22</w:t>
        </w:r>
      </w:hyperlink>
      <w:r>
        <w:rPr>
          <w:lang w:val="ar_AE" w:bidi="ar_AE"/>
        </w:rPr>
        <w:t>). أما الأجزاء غير المؤرخة (</w:t>
      </w:r>
      <w:hyperlink r:id="rId37">
        <w:r>
          <w:rPr>
            <w:lang w:val="ar_AE" w:bidi="ar_AE"/>
          </w:rPr>
          <w:rPr>
            <w:color w:val="0000EE"/>
            <w:u w:val="single"/>
          </w:rPr>
          <w:t>الإصحاحات 9–14</w:t>
        </w:r>
      </w:hyperlink>
      <w:r>
        <w:rPr>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lang w:val="ar_AE" w:bidi="ar_AE"/>
        </w:rPr>
      </w:r>
      <w:r>
        <w:rPr>
          <w:lang w:val="ar_AE" w:bidi="ar_AE"/>
        </w:rPr>
        <w:t xml:space="preserve">ينسب بعض دارسي الكتاب المقدس </w:t>
      </w:r>
      <w:hyperlink r:id="rId38">
        <w:r>
          <w:rPr>
            <w:lang w:val="ar_AE" w:bidi="ar_AE"/>
          </w:rPr>
          <w:rPr>
            <w:color w:val="0000EE"/>
            <w:u w:val="single"/>
          </w:rPr>
          <w:t>الإصحاحات 9–11</w:t>
        </w:r>
      </w:hyperlink>
      <w:r>
        <w:rPr>
          <w:lang w:val="ar_AE" w:bidi="ar_AE"/>
        </w:rPr>
        <w:t xml:space="preserve"> إلى "زكريّا الثاني" و</w:t>
      </w:r>
      <w:hyperlink r:id="rId39">
        <w:r>
          <w:rPr>
            <w:lang w:val="ar_AE" w:bidi="ar_AE"/>
          </w:rPr>
          <w:rPr>
            <w:color w:val="0000EE"/>
            <w:u w:val="single"/>
          </w:rPr>
          <w:t>الإصحاحات 12–14</w:t>
        </w:r>
      </w:hyperlink>
      <w:r>
        <w:rPr>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lang w:val="ar_AE" w:bidi="ar_AE"/>
        </w:rPr>
        <w:t>المستقبِلون</w:t>
      </w:r>
    </w:p>
    <w:p>
      <w:pPr>
        <w:bidi/>
      </w:pPr>
      <w:r>
        <w:rPr>
          <w:lang w:val="ar_AE" w:bidi="ar_AE"/>
        </w:rPr>
      </w:r>
      <w:r>
        <w:rPr>
          <w:lang w:val="ar_AE" w:bidi="ar_AE"/>
        </w:rPr>
        <w:t>كانت رسائل زكريّا موجهة للأشخاص الذين يعيشون في أورشليم وحولها بعد عودتهم من السبي (</w:t>
      </w:r>
      <w:hyperlink r:id="rId40">
        <w:r>
          <w:rPr>
            <w:lang w:val="ar_AE" w:bidi="ar_AE"/>
          </w:rPr>
          <w:rPr>
            <w:color w:val="0000EE"/>
            <w:u w:val="single"/>
          </w:rPr>
          <w:t>1:3</w:t>
        </w:r>
      </w:hyperlink>
      <w:r>
        <w:rPr>
          <w:lang w:val="ar_AE" w:bidi="ar_AE"/>
        </w:rPr>
        <w:t xml:space="preserve">). تحتوي عِظات ورؤى زكريّا على كلمات موجهة خصيصًا إلى الحاكم زربّابل، ورئيس الكهنة يشوع، وسائر الكهنة (انظر </w:t>
      </w:r>
      <w:hyperlink r:id="rId41">
        <w:r>
          <w:rPr>
            <w:lang w:val="ar_AE" w:bidi="ar_AE"/>
          </w:rPr>
          <w:rPr>
            <w:color w:val="0000EE"/>
            <w:u w:val="single"/>
          </w:rPr>
          <w:t>3:8–9؛</w:t>
        </w:r>
      </w:hyperlink>
      <w:r>
        <w:rPr>
          <w:lang w:val="ar_AE" w:bidi="ar_AE"/>
        </w:rPr>
        <w:t xml:space="preserve"> </w:t>
      </w:r>
      <w:hyperlink r:id="rId42">
        <w:r>
          <w:rPr>
            <w:lang w:val="ar_AE" w:bidi="ar_AE"/>
          </w:rPr>
          <w:rPr>
            <w:color w:val="0000EE"/>
            <w:u w:val="single"/>
          </w:rPr>
          <w:t>4:6–7؛</w:t>
        </w:r>
      </w:hyperlink>
      <w:r>
        <w:rPr>
          <w:lang w:val="ar_AE" w:bidi="ar_AE"/>
        </w:rPr>
        <w:t xml:space="preserve"> </w:t>
      </w:r>
      <w:hyperlink r:id="rId43">
        <w:r>
          <w:rPr>
            <w:lang w:val="ar_AE" w:bidi="ar_AE"/>
          </w:rPr>
          <w:rPr>
            <w:color w:val="0000EE"/>
            <w:u w:val="single"/>
          </w:rPr>
          <w:t>7:4–7</w:t>
        </w:r>
      </w:hyperlink>
      <w:r>
        <w:rPr>
          <w:lang w:val="ar_AE" w:bidi="ar_AE"/>
        </w:rPr>
        <w:t>).</w:t>
      </w:r>
    </w:p>
    <w:p>
      <w:pPr>
        <w:pStyle w:val="Heading2"/>
        <w:bidi/>
      </w:pPr>
      <w:r>
        <w:rPr>
          <w:lang w:val="ar_AE" w:bidi="ar_AE"/>
        </w:rPr>
        <w:t>القالب الأدبيّ</w:t>
      </w:r>
    </w:p>
    <w:p>
      <w:pPr>
        <w:bidi/>
      </w:pPr>
      <w:r>
        <w:rPr>
          <w:lang w:val="ar_AE" w:bidi="ar_AE"/>
        </w:rPr>
      </w:r>
      <w:r>
        <w:rPr>
          <w:lang w:val="ar_AE" w:bidi="ar_AE"/>
        </w:rPr>
        <w:t xml:space="preserve">يُعد </w:t>
      </w:r>
      <w:r>
        <w:rPr>
          <w:lang w:val="ar_AE" w:bidi="ar_AE"/>
        </w:rPr>
        <w:t xml:space="preserve">سفر زكريا من الأدب النبوي، ويتضمّن نداءات إلهية موجهة إلى شعب الرب تدعوهم </w:t>
      </w:r>
      <w:r>
        <w:rPr>
          <w:lang w:val="ar_AE" w:bidi="ar_AE"/>
        </w:rPr>
        <w:t>إلى التوبة وتجديد العبادة الجماعية، وممارسة العدالة الاجتماعية.</w:t>
      </w:r>
    </w:p>
    <w:p>
      <w:pPr>
        <w:bidi/>
      </w:pPr>
      <w:r>
        <w:rPr>
          <w:lang w:val="ar_AE" w:bidi="ar_AE"/>
        </w:rPr>
      </w:r>
      <w:r>
        <w:rPr>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hyperlink r:id="rId44">
        <w:r>
          <w:rPr>
            <w:lang w:val="ar_AE" w:bidi="ar_AE"/>
          </w:rPr>
          <w:rPr>
            <w:color w:val="0000EE"/>
            <w:u w:val="single"/>
          </w:rPr>
          <w:t>1:9</w:t>
        </w:r>
      </w:hyperlink>
      <w:r>
        <w:rPr>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lang w:val="ar_AE" w:bidi="ar_AE"/>
        </w:rPr>
      </w:r>
      <w:r>
        <w:rPr>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lang w:val="ar_AE" w:bidi="ar_AE"/>
        </w:rPr>
        <w:t>المعنى والرسالة</w:t>
      </w:r>
    </w:p>
    <w:p>
      <w:pPr>
        <w:bidi/>
      </w:pPr>
      <w:r>
        <w:rPr>
          <w:lang w:val="ar_AE" w:bidi="ar_AE"/>
        </w:rPr>
      </w:r>
      <w:r>
        <w:rPr>
          <w:lang w:val="ar_AE" w:bidi="ar_AE"/>
        </w:rPr>
        <w:t>يدعو سِفر زكريّا إلى التوبة، والتجديد الروحي، والعودة إلى العَلاقة الصحيحة بالله (</w:t>
      </w:r>
      <w:hyperlink r:id="rId45">
        <w:r>
          <w:rPr>
            <w:lang w:val="ar_AE" w:bidi="ar_AE"/>
          </w:rPr>
          <w:rPr>
            <w:color w:val="0000EE"/>
            <w:u w:val="single"/>
          </w:rPr>
          <w:t>1:1–6</w:t>
        </w:r>
      </w:hyperlink>
      <w:r>
        <w:rPr>
          <w:lang w:val="ar_AE" w:bidi="ar_AE"/>
        </w:rPr>
        <w:t>). كانت مهمة زكريّا مواساة وتقوية بقية صغيرة ومحبطة من شعب الله (</w:t>
      </w:r>
      <w:hyperlink r:id="rId46">
        <w:r>
          <w:rPr>
            <w:lang w:val="ar_AE" w:bidi="ar_AE"/>
          </w:rPr>
          <w:rPr>
            <w:color w:val="0000EE"/>
            <w:u w:val="single"/>
          </w:rPr>
          <w:t>1:13؛</w:t>
        </w:r>
      </w:hyperlink>
      <w:r>
        <w:rPr>
          <w:lang w:val="ar_AE" w:bidi="ar_AE"/>
        </w:rPr>
        <w:t xml:space="preserve"> </w:t>
      </w:r>
      <w:hyperlink r:id="rId47">
        <w:r>
          <w:rPr>
            <w:lang w:val="ar_AE" w:bidi="ar_AE"/>
          </w:rPr>
          <w:rPr>
            <w:color w:val="0000EE"/>
            <w:u w:val="single"/>
          </w:rPr>
          <w:t>8:6–15</w:t>
        </w:r>
      </w:hyperlink>
      <w:r>
        <w:rPr>
          <w:lang w:val="ar_AE" w:bidi="ar_AE"/>
        </w:rPr>
        <w:t>). كما دعم زكريّا دعوة حجَّي لإعادة بناء هيكل أورشليم (</w:t>
      </w:r>
      <w:hyperlink r:id="rId48">
        <w:r>
          <w:rPr>
            <w:lang w:val="ar_AE" w:bidi="ar_AE"/>
          </w:rPr>
          <w:rPr>
            <w:color w:val="0000EE"/>
            <w:u w:val="single"/>
          </w:rPr>
          <w:t>8:9،</w:t>
        </w:r>
      </w:hyperlink>
      <w:r>
        <w:rPr>
          <w:lang w:val="ar_AE" w:bidi="ar_AE"/>
        </w:rPr>
        <w:t xml:space="preserve"> </w:t>
      </w:r>
      <w:hyperlink r:id="rId24">
        <w:r>
          <w:rPr>
            <w:lang w:val="ar_AE" w:bidi="ar_AE"/>
          </w:rPr>
          <w:rPr>
            <w:color w:val="0000EE"/>
            <w:u w:val="single"/>
          </w:rPr>
          <w:t>13</w:t>
        </w:r>
      </w:hyperlink>
      <w:r>
        <w:rPr>
          <w:lang w:val="ar_AE" w:bidi="ar_AE"/>
        </w:rPr>
        <w:t>).</w:t>
      </w:r>
    </w:p>
    <w:p>
      <w:pPr>
        <w:bidi/>
      </w:pPr>
      <w:r>
        <w:rPr>
          <w:lang w:val="ar_AE" w:bidi="ar_AE"/>
        </w:rPr>
      </w:r>
      <w:r>
        <w:rPr>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hyperlink r:id="rId49">
        <w:r>
          <w:rPr>
            <w:lang w:val="ar_AE" w:bidi="ar_AE"/>
          </w:rPr>
          <w:rPr>
            <w:color w:val="0000EE"/>
            <w:u w:val="single"/>
          </w:rPr>
          <w:t>1:7–6:15</w:t>
        </w:r>
      </w:hyperlink>
      <w:r>
        <w:rPr>
          <w:lang w:val="ar_AE" w:bidi="ar_AE"/>
        </w:rPr>
        <w:t>). أكد زكريّا أن العدالة الاجتماعية كانت استجابة إسرائيل الصحيحة تجاه الله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w:t>
      </w:r>
    </w:p>
    <w:p>
      <w:pPr>
        <w:bidi/>
      </w:pPr>
      <w:r>
        <w:rPr>
          <w:lang w:val="ar_AE" w:bidi="ar_AE"/>
        </w:rPr>
      </w:r>
      <w:r>
        <w:rPr>
          <w:lang w:val="ar_AE" w:bidi="ar_AE"/>
        </w:rPr>
        <w:t>تبث الرسالتان الأخيرتان لزكريّا الرجاء في الله مِن خلال التركيز على استعادة إسرائيل في المستقبل (</w:t>
      </w:r>
      <w:hyperlink r:id="rId37">
        <w:r>
          <w:rPr>
            <w:lang w:val="ar_AE" w:bidi="ar_AE"/>
          </w:rPr>
          <w:rPr>
            <w:color w:val="0000EE"/>
            <w:u w:val="single"/>
          </w:rPr>
          <w:t>الإصحاحات 9–14</w:t>
        </w:r>
      </w:hyperlink>
      <w:r>
        <w:rPr>
          <w:lang w:val="ar_AE" w:bidi="ar_AE"/>
        </w:rPr>
        <w:t>). ويتنبأ النبي بعودة الرب إلى هيكله (</w:t>
      </w:r>
      <w:hyperlink r:id="rId50">
        <w:r>
          <w:rPr>
            <w:lang w:val="ar_AE" w:bidi="ar_AE"/>
          </w:rPr>
          <w:rPr>
            <w:color w:val="0000EE"/>
            <w:u w:val="single"/>
          </w:rPr>
          <w:t>9:8–10</w:t>
        </w:r>
      </w:hyperlink>
      <w:r>
        <w:rPr>
          <w:lang w:val="ar_AE" w:bidi="ar_AE"/>
        </w:rPr>
        <w:t>)، وإنقاذ إسرائيل من أعدائها (</w:t>
      </w:r>
      <w:hyperlink r:id="rId51">
        <w:r>
          <w:rPr>
            <w:lang w:val="ar_AE" w:bidi="ar_AE"/>
          </w:rPr>
          <w:rPr>
            <w:color w:val="0000EE"/>
            <w:u w:val="single"/>
          </w:rPr>
          <w:t>12:1–14</w:t>
        </w:r>
      </w:hyperlink>
      <w:r>
        <w:rPr>
          <w:lang w:val="ar_AE" w:bidi="ar_AE"/>
        </w:rPr>
        <w:t>)، وإقامة مملكة الله في أورشليم (</w:t>
      </w:r>
      <w:hyperlink r:id="rId52">
        <w:r>
          <w:rPr>
            <w:lang w:val="ar_AE" w:bidi="ar_AE"/>
          </w:rPr>
          <w:rPr>
            <w:color w:val="0000EE"/>
            <w:u w:val="single"/>
          </w:rPr>
          <w:t>14:9–11</w:t>
        </w:r>
      </w:hyperlink>
      <w:r>
        <w:rPr>
          <w:lang w:val="ar_AE" w:bidi="ar_AE"/>
        </w:rPr>
        <w:t>). يشير زكريّا أيضًا إلى المسيَّا، الذي سيكون راعيًا متألمًا (</w:t>
      </w:r>
      <w:hyperlink r:id="rId53">
        <w:r>
          <w:rPr>
            <w:lang w:val="ar_AE" w:bidi="ar_AE"/>
          </w:rPr>
          <w:rPr>
            <w:color w:val="0000EE"/>
            <w:u w:val="single"/>
          </w:rPr>
          <w:t>13:7</w:t>
        </w:r>
      </w:hyperlink>
      <w:r>
        <w:rPr>
          <w:lang w:val="ar_AE" w:bidi="ar_AE"/>
        </w:rPr>
        <w:t>) وملكًا بارًا (</w:t>
      </w:r>
      <w:hyperlink r:id="rId54">
        <w:r>
          <w:rPr>
            <w:lang w:val="ar_AE" w:bidi="ar_AE"/>
          </w:rPr>
          <w:rPr>
            <w:color w:val="0000EE"/>
            <w:u w:val="single"/>
          </w:rPr>
          <w:t>9:9</w:t>
        </w:r>
      </w:hyperlink>
      <w:r>
        <w:rPr>
          <w:lang w:val="ar_AE" w:bidi="ar_AE"/>
        </w:rPr>
        <w:t>)، جالبًا الخلاص لإسرائيل والسلام للأمم (</w:t>
      </w:r>
      <w:hyperlink r:id="rId55">
        <w:r>
          <w:rPr>
            <w:lang w:val="ar_AE" w:bidi="ar_AE"/>
          </w:rPr>
          <w:rPr>
            <w:color w:val="0000EE"/>
            <w:u w:val="single"/>
          </w:rPr>
          <w:t>9:10،</w:t>
        </w:r>
      </w:hyperlink>
      <w:r>
        <w:rPr>
          <w:lang w:val="ar_AE" w:bidi="ar_AE"/>
        </w:rPr>
        <w:t xml:space="preserve"> </w:t>
      </w:r>
      <w:hyperlink r:id="rId56">
        <w:r>
          <w:rPr>
            <w:lang w:val="ar_AE" w:bidi="ar_AE"/>
          </w:rPr>
          <w:rPr>
            <w:color w:val="0000EE"/>
            <w:u w:val="single"/>
          </w:rPr>
          <w:t>16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