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 xml:space="preserve">إن رسالةَ </w:t>
      </w:r>
      <w:r>
        <w:rPr>
          <w:lang w:val="ar_AE" w:bidi="ar_AE"/>
        </w:rPr>
        <w:t xml:space="preserve">يَهُوذَا </w:t>
      </w:r>
      <w:r>
        <w:rPr>
          <w:lang w:val="ar_AE" w:bidi="ar_AE"/>
        </w:rPr>
        <w:t xml:space="preserve">القصيرة جدًّا لها موضوعٌ مركزِيٌّ واحدٌ: تحذيرُ المؤمنين من الرضوخِ للتعاليمِ الكاذبةِ. يساعِدُ </w:t>
      </w:r>
      <w:r>
        <w:rPr>
          <w:lang w:val="ar_AE" w:bidi="ar_AE"/>
        </w:rPr>
        <w:t xml:space="preserve">يَهُوذَا </w:t>
      </w:r>
      <w:r>
        <w:rPr>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lang w:val="ar_AE" w:bidi="ar_AE"/>
        </w:rPr>
        <w:t>سِياقُ الرِّسَالَةِ</w:t>
      </w:r>
    </w:p>
    <w:p>
      <w:pPr>
        <w:bidi/>
      </w:pPr>
      <w:r>
        <w:rPr>
          <w:lang w:val="ar_AE" w:bidi="ar_AE"/>
        </w:rPr>
      </w:r>
      <w:r>
        <w:rPr>
          <w:lang w:val="ar_AE" w:bidi="ar_AE"/>
        </w:rPr>
        <w:t xml:space="preserve">كَتَبَ </w:t>
      </w:r>
      <w:r>
        <w:rPr>
          <w:lang w:val="ar_AE" w:bidi="ar_AE"/>
        </w:rPr>
        <w:t xml:space="preserve">يَهُوذَا </w:t>
      </w:r>
      <w:r>
        <w:rPr>
          <w:lang w:val="ar_AE" w:bidi="ar_AE"/>
        </w:rPr>
        <w:t xml:space="preserve">هذه الرِّسَالَةَ لمواجهة المُعَلِّمِين الكَذَبَة في الكنيسة المُبَكِّرَة. يُركِّز </w:t>
      </w:r>
      <w:r>
        <w:rPr>
          <w:lang w:val="ar_AE" w:bidi="ar_AE"/>
        </w:rPr>
        <w:t xml:space="preserve">يَهُوذَا </w:t>
      </w:r>
      <w:r>
        <w:rPr>
          <w:lang w:val="ar_AE" w:bidi="ar_AE"/>
        </w:rPr>
        <w:t xml:space="preserve">بشكلٍ قليلٍ على ما كان يُعَلِّمُه هؤلاء المُعَلِّمون، لكنه يسلِّطُ الضوءَ بشكلٍ أكبر على الطريقَةِ التي كانوا يعيشون بها؛ وفي قَلْبِ انتقادِ </w:t>
      </w:r>
      <w:r>
        <w:rPr>
          <w:lang w:val="ar_AE" w:bidi="ar_AE"/>
        </w:rPr>
        <w:t xml:space="preserve">يَهُوذَا </w:t>
      </w:r>
      <w:r>
        <w:rPr>
          <w:lang w:val="ar_AE" w:bidi="ar_AE"/>
        </w:rPr>
        <w:t>لهم يوجَدُ اتهامٌ صارِخٌ بأنهم كانوا متحرِّرين - لقد افترضوا أن نعمةَ اللهِ المُعْلَنَة في ٱلْمَسِيحِ تقدِّمُ حريَّةَ تبيحُ القيامَ بكلَّ ما يروقُ لهم (</w:t>
      </w:r>
      <w:hyperlink r:id="rId13">
        <w:r>
          <w:rPr>
            <w:lang w:val="ar_AE" w:bidi="ar_AE"/>
          </w:rPr>
          <w:rPr>
            <w:color w:val="0000EE"/>
            <w:u w:val="single"/>
          </w:rPr>
          <w:t>1:4</w:t>
        </w:r>
      </w:hyperlink>
      <w:r>
        <w:rPr>
          <w:lang w:val="ar_AE" w:bidi="ar_AE"/>
        </w:rPr>
        <w:t xml:space="preserve">). لم يكُنْ لديهم أي احترامٍ لأيَّة سُلْطَةٍ (انظر </w:t>
      </w:r>
      <w:hyperlink r:id="rId14">
        <w:r>
          <w:rPr>
            <w:lang w:val="ar_AE" w:bidi="ar_AE"/>
          </w:rPr>
          <w:rPr>
            <w:color w:val="0000EE"/>
            <w:u w:val="single"/>
          </w:rPr>
          <w:t>1:8–9</w:t>
        </w:r>
      </w:hyperlink>
      <w:r>
        <w:rPr>
          <w:lang w:val="ar_AE" w:bidi="ar_AE"/>
        </w:rPr>
        <w:t>)، لقد انخرطوا في كثيرٍ من السُّلُوكيات الخاطئة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19</w:t>
        </w:r>
      </w:hyperlink>
      <w:r>
        <w:rPr>
          <w:lang w:val="ar_AE" w:bidi="ar_AE"/>
        </w:rPr>
        <w:t xml:space="preserve">). إن هؤلاء المُسْرِفُون، الذين ادَّعُوا بأنهم أتباع ٱلْمَسِيحِ (انظر </w:t>
      </w:r>
      <w:hyperlink r:id="rId13">
        <w:r>
          <w:rPr>
            <w:lang w:val="ar_AE" w:bidi="ar_AE"/>
          </w:rPr>
          <w:rPr>
            <w:color w:val="0000EE"/>
            <w:u w:val="single"/>
          </w:rPr>
          <w:t>1:4</w:t>
        </w:r>
      </w:hyperlink>
      <w:r>
        <w:rPr>
          <w:lang w:val="ar_AE" w:bidi="ar_AE"/>
        </w:rPr>
        <w:t>)، كانوا يُنْكِرُون الرَّبَّ، وبالتالي كانوا مُعَيَّنين لدينونَةٍ الخاصة بكلِّ من يَتَمَرَّدُ على الله.</w:t>
      </w:r>
    </w:p>
    <w:p>
      <w:pPr>
        <w:pStyle w:val="Heading4"/>
        <w:bidi/>
      </w:pPr>
      <w:r>
        <w:rPr>
          <w:lang w:val="ar_AE" w:bidi="ar_AE"/>
        </w:rPr>
        <w:t>مُوجَزُ الرِّسَالَةِ</w:t>
      </w:r>
    </w:p>
    <w:p>
      <w:pPr>
        <w:bidi/>
      </w:pPr>
      <w:r>
        <w:rPr>
          <w:lang w:val="ar_AE" w:bidi="ar_AE"/>
        </w:rPr>
      </w:r>
      <w:r>
        <w:rPr>
          <w:lang w:val="ar_AE" w:bidi="ar_AE"/>
        </w:rPr>
        <w:t>بعد افتتاحيةِ الرِّسَالَةِ (</w:t>
      </w:r>
      <w:hyperlink r:id="rId17">
        <w:r>
          <w:rPr>
            <w:lang w:val="ar_AE" w:bidi="ar_AE"/>
          </w:rPr>
          <w:rPr>
            <w:color w:val="0000EE"/>
            <w:u w:val="single"/>
          </w:rPr>
          <w:t>1:1–2</w:t>
        </w:r>
      </w:hyperlink>
      <w:r>
        <w:rPr>
          <w:lang w:val="ar_AE" w:bidi="ar_AE"/>
        </w:rPr>
        <w:t xml:space="preserve">)، يوضِّح </w:t>
      </w:r>
      <w:r>
        <w:rPr>
          <w:lang w:val="ar_AE" w:bidi="ar_AE"/>
        </w:rPr>
        <w:t xml:space="preserve">يَهُوذَا </w:t>
      </w:r>
      <w:r>
        <w:rPr>
          <w:lang w:val="ar_AE" w:bidi="ar_AE"/>
        </w:rPr>
        <w:t>الظَّرْفَ الذي دَفَعَهُ لكتابتها (</w:t>
      </w:r>
      <w:hyperlink r:id="rId18">
        <w:r>
          <w:rPr>
            <w:lang w:val="ar_AE" w:bidi="ar_AE"/>
          </w:rPr>
          <w:rPr>
            <w:color w:val="0000EE"/>
            <w:u w:val="single"/>
          </w:rPr>
          <w:t>1:3–4</w:t>
        </w:r>
      </w:hyperlink>
      <w:r>
        <w:rPr>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lang w:val="ar_AE" w:bidi="ar_AE"/>
        </w:rPr>
      </w:r>
      <w:r>
        <w:rPr>
          <w:lang w:val="ar_AE" w:bidi="ar_AE"/>
        </w:rPr>
        <w:t xml:space="preserve">في قِسْمِ الرِّسَالَةِ الوارد في </w:t>
      </w:r>
      <w:hyperlink r:id="rId19">
        <w:r>
          <w:rPr>
            <w:lang w:val="ar_AE" w:bidi="ar_AE"/>
          </w:rPr>
          <w:rPr>
            <w:color w:val="0000EE"/>
            <w:u w:val="single"/>
          </w:rPr>
          <w:t>1:5–16</w:t>
        </w:r>
      </w:hyperlink>
      <w:r>
        <w:rPr>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hyperlink r:id="rId20">
        <w:r>
          <w:rPr>
            <w:lang w:val="ar_AE" w:bidi="ar_AE"/>
          </w:rPr>
          <w:rPr>
            <w:color w:val="0000EE"/>
            <w:u w:val="single"/>
          </w:rPr>
          <w:t>1:5–10</w:t>
        </w:r>
      </w:hyperlink>
      <w:r>
        <w:rPr>
          <w:lang w:val="ar_AE" w:bidi="ar_AE"/>
        </w:rPr>
        <w:t xml:space="preserve">). ثم يستشهد بثلاثة أمثلة كِتَابِيَّة أخرى لانتقادِهِم بقسوَةٍ على أهوائهم وسلوكياتهم الفاجرة (ب، </w:t>
      </w:r>
      <w:hyperlink r:id="rId21">
        <w:r>
          <w:rPr>
            <w:lang w:val="ar_AE" w:bidi="ar_AE"/>
          </w:rPr>
          <w:rPr>
            <w:color w:val="0000EE"/>
            <w:u w:val="single"/>
          </w:rPr>
          <w:t>1:11–13</w:t>
        </w:r>
      </w:hyperlink>
      <w:r>
        <w:rPr>
          <w:lang w:val="ar_AE" w:bidi="ar_AE"/>
        </w:rPr>
        <w:t xml:space="preserve">). في نهايَةِ هذا القِسْمِ، يعود إلى دينونتهم، مستشهدًا بتقليدٍ يهودِيٍّ لترسيخ اتهامه (أَ </w:t>
      </w:r>
      <w:hyperlink r:id="rId22">
        <w:r>
          <w:rPr>
            <w:lang w:val="ar_AE" w:bidi="ar_AE"/>
          </w:rPr>
          <w:rPr>
            <w:color w:val="0000EE"/>
            <w:u w:val="single"/>
          </w:rPr>
          <w:t>1:14–16</w:t>
        </w:r>
      </w:hyperlink>
      <w:r>
        <w:rPr>
          <w:lang w:val="ar_AE" w:bidi="ar_AE"/>
        </w:rPr>
        <w:t>).</w:t>
      </w:r>
    </w:p>
    <w:p>
      <w:pPr>
        <w:bidi/>
      </w:pPr>
      <w:r>
        <w:rPr>
          <w:lang w:val="ar_AE" w:bidi="ar_AE"/>
        </w:rPr>
      </w:r>
      <w:r>
        <w:rPr>
          <w:lang w:val="ar_AE" w:bidi="ar_AE"/>
        </w:rPr>
        <w:t>بعد ذلك مباشرةً، يقدِّمُ يَهُوذَا التماسًا لقرائِهِ (</w:t>
      </w:r>
      <w:hyperlink r:id="rId23">
        <w:r>
          <w:rPr>
            <w:lang w:val="ar_AE" w:bidi="ar_AE"/>
          </w:rPr>
          <w:rPr>
            <w:color w:val="0000EE"/>
            <w:u w:val="single"/>
          </w:rPr>
          <w:t>1:17–23</w:t>
        </w:r>
      </w:hyperlink>
      <w:r>
        <w:rPr>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hyperlink r:id="rId24">
        <w:r>
          <w:rPr>
            <w:lang w:val="ar_AE" w:bidi="ar_AE"/>
          </w:rPr>
          <w:rPr>
            <w:color w:val="0000EE"/>
            <w:u w:val="single"/>
          </w:rPr>
          <w:t>1:24–25</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يَصِفُ يَهُوذَا </w:t>
      </w:r>
      <w:r>
        <w:rPr>
          <w:lang w:val="ar_AE" w:bidi="ar_AE"/>
        </w:rPr>
        <w:t>نَفْسَهُ بأنه "أخو يَعْقوبَ" (</w:t>
      </w:r>
      <w:hyperlink r:id="rId25">
        <w:r>
          <w:rPr>
            <w:lang w:val="ar_AE" w:bidi="ar_AE"/>
          </w:rPr>
          <w:rPr>
            <w:color w:val="0000EE"/>
            <w:u w:val="single"/>
          </w:rPr>
          <w:t>1:1</w:t>
        </w:r>
      </w:hyperlink>
      <w:r>
        <w:rPr>
          <w:lang w:val="ar_AE" w:bidi="ar_AE"/>
        </w:rPr>
        <w:t>). ويَعْقُوبُ هذا هو على الأرجح "أَخُو الرَّبِّ" (</w:t>
      </w:r>
      <w:hyperlink r:id="rId26">
        <w:r>
          <w:rPr>
            <w:lang w:val="ar_AE" w:bidi="ar_AE"/>
          </w:rPr>
          <w:rPr>
            <w:color w:val="0000EE"/>
            <w:u w:val="single"/>
          </w:rPr>
          <w:t>غَلاطِيَّة 1:19</w:t>
        </w:r>
      </w:hyperlink>
      <w:r>
        <w:rPr>
          <w:lang w:val="ar_AE" w:bidi="ar_AE"/>
        </w:rPr>
        <w:t xml:space="preserve">؛ انْظُرْ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الذي أصبح القائد المُعْتَبَر لكنيسةِ أورشَلِيم (</w:t>
      </w:r>
      <w:hyperlink r:id="rId29">
        <w:r>
          <w:rPr>
            <w:lang w:val="ar_AE" w:bidi="ar_AE"/>
          </w:rPr>
          <w:rPr>
            <w:color w:val="0000EE"/>
            <w:u w:val="single"/>
          </w:rPr>
          <w:t>أعمال الرُّسُل 15:13–21؛</w:t>
        </w:r>
      </w:hyperlink>
      <w:r>
        <w:rPr>
          <w:lang w:val="ar_AE" w:bidi="ar_AE"/>
        </w:rPr>
        <w:t xml:space="preserve"> </w:t>
      </w:r>
      <w:hyperlink r:id="rId30">
        <w:r>
          <w:rPr>
            <w:lang w:val="ar_AE" w:bidi="ar_AE"/>
          </w:rPr>
          <w:rPr>
            <w:color w:val="0000EE"/>
            <w:u w:val="single"/>
          </w:rPr>
          <w:t>21:18</w:t>
        </w:r>
      </w:hyperlink>
      <w:r>
        <w:rPr>
          <w:lang w:val="ar_AE" w:bidi="ar_AE"/>
        </w:rPr>
        <w:t xml:space="preserve">) والذي كَتَبَ رسالةً عُرِفَتْ بِرِسَالَةِ يَعْقُوب. وبناءً عليه، كان يَهوذَا أيضًا أخًا ليسوع (يُطلق عليه "يوداس" في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إن يَهُوذَا وسائر إخوته لم يتبعوا الرَّبَّ يسوع أثناء خدمتِهِ الأرضيَّةِ (</w:t>
      </w:r>
      <w:hyperlink r:id="rId31">
        <w:r>
          <w:rPr>
            <w:lang w:val="ar_AE" w:bidi="ar_AE"/>
          </w:rPr>
          <w:rPr>
            <w:color w:val="0000EE"/>
            <w:u w:val="single"/>
          </w:rPr>
          <w:t>يُوحَنَّا 7:5</w:t>
        </w:r>
      </w:hyperlink>
      <w:r>
        <w:rPr>
          <w:lang w:val="ar_AE" w:bidi="ar_AE"/>
        </w:rPr>
        <w:t xml:space="preserve">)، لكن من الواضِحِ أنهم صاروا مؤمنين به بعد القيامَةِ (انْظُرْ </w:t>
      </w:r>
      <w:hyperlink r:id="rId32">
        <w:r>
          <w:rPr>
            <w:lang w:val="ar_AE" w:bidi="ar_AE"/>
          </w:rPr>
          <w:rPr>
            <w:color w:val="0000EE"/>
            <w:u w:val="single"/>
          </w:rPr>
          <w:t>أعمال الرُّسُل 1:14</w:t>
        </w:r>
      </w:hyperlink>
      <w:r>
        <w:rPr>
          <w:lang w:val="ar_AE" w:bidi="ar_AE"/>
        </w:rPr>
        <w:t xml:space="preserve">؛ </w:t>
      </w:r>
      <w:hyperlink r:id="rId33">
        <w:r>
          <w:rPr>
            <w:lang w:val="ar_AE" w:bidi="ar_AE"/>
          </w:rPr>
          <w:rPr>
            <w:color w:val="0000EE"/>
            <w:u w:val="single"/>
          </w:rPr>
          <w:t>1 كورنثوس 15:7</w:t>
        </w:r>
      </w:hyperlink>
      <w:r>
        <w:rPr>
          <w:lang w:val="ar_AE" w:bidi="ar_AE"/>
        </w:rPr>
        <w:t>) ثم جالوا لنشر الرِّسَالَةِ عن الرَّبِّ المُقام (</w:t>
      </w:r>
      <w:hyperlink r:id="rId34">
        <w:r>
          <w:rPr>
            <w:lang w:val="ar_AE" w:bidi="ar_AE"/>
          </w:rPr>
          <w:rPr>
            <w:color w:val="0000EE"/>
            <w:u w:val="single"/>
          </w:rPr>
          <w:t>1 كورنثوس 9:5</w:t>
        </w:r>
      </w:hyperlink>
      <w:r>
        <w:rPr>
          <w:lang w:val="ar_AE" w:bidi="ar_AE"/>
        </w:rPr>
        <w:t>).</w:t>
      </w:r>
    </w:p>
    <w:p>
      <w:pPr>
        <w:pStyle w:val="Heading4"/>
        <w:bidi/>
      </w:pPr>
      <w:r>
        <w:rPr>
          <w:lang w:val="ar_AE" w:bidi="ar_AE"/>
        </w:rPr>
        <w:t>تَارِيخُ الرِّسَالَةِ وجهةُ الوُصُول</w:t>
      </w:r>
    </w:p>
    <w:p>
      <w:pPr>
        <w:bidi/>
      </w:pPr>
      <w:r>
        <w:rPr>
          <w:lang w:val="ar_AE" w:bidi="ar_AE"/>
        </w:rPr>
      </w:r>
      <w:r>
        <w:rPr>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lang w:val="ar_AE" w:bidi="ar_AE"/>
        </w:rPr>
        <w:t>مقدمة الرِّسَالَة الثَّانية للرَّسُول بُطْرُس، "العلاقة مع يَهوذَا"</w:t>
      </w:r>
      <w:r>
        <w:rPr>
          <w:lang w:val="ar_AE" w:bidi="ar_AE"/>
        </w:rPr>
        <w:t>).</w:t>
      </w:r>
    </w:p>
    <w:p>
      <w:pPr>
        <w:pStyle w:val="Heading4"/>
        <w:bidi/>
      </w:pPr>
      <w:r>
        <w:rPr>
          <w:lang w:val="ar_AE" w:bidi="ar_AE"/>
        </w:rPr>
        <w:t>مَضْمُون ومَغْزَى الرِّسَالَةِ</w:t>
      </w:r>
    </w:p>
    <w:p>
      <w:pPr>
        <w:bidi/>
      </w:pPr>
      <w:r>
        <w:rPr>
          <w:lang w:val="ar_AE" w:bidi="ar_AE"/>
        </w:rPr>
      </w:r>
      <w:r>
        <w:rPr>
          <w:b/>
          <w:lang w:val="ar_AE" w:bidi="ar_AE"/>
        </w:rPr>
        <w:t>المُعَلِّمُون الكَذَبَةِ:</w:t>
      </w:r>
      <w:r>
        <w:rPr>
          <w:lang w:val="ar_AE" w:bidi="ar_AE"/>
        </w:rPr>
        <w:t xml:space="preserve"> </w:t>
      </w:r>
    </w:p>
    <w:p>
      <w:pPr>
        <w:bidi/>
      </w:pPr>
      <w:r>
        <w:rPr>
          <w:lang w:val="ar_AE" w:bidi="ar_AE"/>
        </w:rPr>
      </w:r>
      <w:r>
        <w:rPr>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hyperlink r:id="rId35">
        <w:r>
          <w:rPr>
            <w:lang w:val="ar_AE" w:bidi="ar_AE"/>
          </w:rPr>
          <w:rPr>
            <w:color w:val="0000EE"/>
            <w:u w:val="single"/>
          </w:rPr>
          <w:t>1:5</w:t>
        </w:r>
      </w:hyperlink>
      <w:r>
        <w:rPr>
          <w:lang w:val="ar_AE" w:bidi="ar_AE"/>
        </w:rPr>
        <w:t>)، والملائكة الذين تمرَّدوا على الله (</w:t>
      </w:r>
      <w:hyperlink r:id="rId36">
        <w:r>
          <w:rPr>
            <w:lang w:val="ar_AE" w:bidi="ar_AE"/>
          </w:rPr>
          <w:rPr>
            <w:color w:val="0000EE"/>
            <w:u w:val="single"/>
          </w:rPr>
          <w:t>1:6</w:t>
        </w:r>
      </w:hyperlink>
      <w:r>
        <w:rPr>
          <w:lang w:val="ar_AE" w:bidi="ar_AE"/>
        </w:rPr>
        <w:t xml:space="preserve">)، وخطاة </w:t>
      </w:r>
      <w:r>
        <w:rPr>
          <w:lang w:val="ar_AE" w:bidi="ar_AE"/>
        </w:rPr>
        <w:t>سَدُوم وَعَمُورَة</w:t>
      </w:r>
      <w:r>
        <w:rPr>
          <w:lang w:val="ar_AE" w:bidi="ar_AE"/>
        </w:rPr>
        <w:t xml:space="preserve"> (</w:t>
      </w:r>
      <w:hyperlink r:id="rId37">
        <w:r>
          <w:rPr>
            <w:lang w:val="ar_AE" w:bidi="ar_AE"/>
          </w:rPr>
          <w:rPr>
            <w:color w:val="0000EE"/>
            <w:u w:val="single"/>
          </w:rPr>
          <w:t>1:7</w:t>
        </w:r>
      </w:hyperlink>
      <w:r>
        <w:rPr>
          <w:lang w:val="ar_AE" w:bidi="ar_AE"/>
        </w:rPr>
        <w:t xml:space="preserve">). يُشْبِهُ المُعَلِّمُون الكَذَبَةُ قايين (انْظُرْ </w:t>
      </w:r>
      <w:hyperlink r:id="rId38">
        <w:r>
          <w:rPr>
            <w:lang w:val="ar_AE" w:bidi="ar_AE"/>
          </w:rPr>
          <w:rPr>
            <w:color w:val="0000EE"/>
            <w:u w:val="single"/>
          </w:rPr>
          <w:t>التَّكْوِين 4</w:t>
        </w:r>
      </w:hyperlink>
      <w:r>
        <w:rPr>
          <w:lang w:val="ar_AE" w:bidi="ar_AE"/>
        </w:rPr>
        <w:t xml:space="preserve">)، وبِلْعَام (انْظُرْ </w:t>
      </w:r>
      <w:hyperlink r:id="rId39">
        <w:r>
          <w:rPr>
            <w:lang w:val="ar_AE" w:bidi="ar_AE"/>
          </w:rPr>
          <w:rPr>
            <w:color w:val="0000EE"/>
            <w:u w:val="single"/>
          </w:rPr>
          <w:t>العَدَد 22–24</w:t>
        </w:r>
      </w:hyperlink>
      <w:r>
        <w:rPr>
          <w:lang w:val="ar_AE" w:bidi="ar_AE"/>
        </w:rPr>
        <w:t xml:space="preserve">)، وقُورَح (انْظُرْ </w:t>
      </w:r>
      <w:hyperlink r:id="rId40">
        <w:r>
          <w:rPr>
            <w:lang w:val="ar_AE" w:bidi="ar_AE"/>
          </w:rPr>
          <w:rPr>
            <w:color w:val="0000EE"/>
            <w:u w:val="single"/>
          </w:rPr>
          <w:t>العَدَد 16</w:t>
        </w:r>
      </w:hyperlink>
      <w:r>
        <w:rPr>
          <w:lang w:val="ar_AE" w:bidi="ar_AE"/>
        </w:rPr>
        <w:t>). على غِرَارِ كلِّ هذه الأمثلة، أضحى المعلمون الكَذَبَة متمردين على الله ومن ثمَّ، سيختبرون دينونَتَهُ.</w:t>
      </w:r>
    </w:p>
    <w:p>
      <w:pPr>
        <w:bidi/>
      </w:pPr>
      <w:r>
        <w:rPr>
          <w:lang w:val="ar_AE" w:bidi="ar_AE"/>
        </w:rPr>
      </w:r>
      <w:r>
        <w:rPr>
          <w:b/>
          <w:lang w:val="ar_AE" w:bidi="ar_AE"/>
        </w:rPr>
        <w:t>الدفاع عن الإيمان:</w:t>
      </w:r>
      <w:r>
        <w:rPr>
          <w:lang w:val="ar_AE" w:bidi="ar_AE"/>
        </w:rPr>
        <w:t xml:space="preserve"> </w:t>
      </w:r>
    </w:p>
    <w:p>
      <w:pPr>
        <w:bidi/>
      </w:pPr>
      <w:r>
        <w:rPr>
          <w:lang w:val="ar_AE" w:bidi="ar_AE"/>
        </w:rPr>
      </w:r>
      <w:r>
        <w:rPr>
          <w:lang w:val="ar_AE" w:bidi="ar_AE"/>
        </w:rPr>
        <w:t xml:space="preserve">في النصِّ </w:t>
      </w:r>
      <w:hyperlink r:id="rId41">
        <w:r>
          <w:rPr>
            <w:lang w:val="ar_AE" w:bidi="ar_AE"/>
          </w:rPr>
          <w:rPr>
            <w:color w:val="0000EE"/>
            <w:u w:val="single"/>
          </w:rPr>
          <w:t>1:3</w:t>
        </w:r>
      </w:hyperlink>
      <w:r>
        <w:rPr>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hyperlink r:id="rId42">
        <w:r>
          <w:rPr>
            <w:lang w:val="ar_AE" w:bidi="ar_AE"/>
          </w:rPr>
          <w:rPr>
            <w:color w:val="0000EE"/>
            <w:u w:val="single"/>
          </w:rPr>
          <w:t>1 تيموثاوس 6:20</w:t>
        </w:r>
      </w:hyperlink>
      <w:r>
        <w:rPr>
          <w:lang w:val="ar_AE" w:bidi="ar_AE"/>
        </w:rPr>
        <w:t xml:space="preserve">; انْظُرْ </w:t>
      </w:r>
      <w:hyperlink r:id="rId43">
        <w:r>
          <w:rPr>
            <w:lang w:val="ar_AE" w:bidi="ar_AE"/>
          </w:rPr>
          <w:rPr>
            <w:color w:val="0000EE"/>
            <w:u w:val="single"/>
          </w:rPr>
          <w:t>2 تيموثاوس 1:14</w:t>
        </w:r>
      </w:hyperlink>
      <w:r>
        <w:rPr>
          <w:lang w:val="ar_AE" w:bidi="ar_AE"/>
        </w:rPr>
        <w:t>).</w:t>
      </w:r>
    </w:p>
    <w:p>
      <w:pPr>
        <w:bidi/>
      </w:pPr>
      <w:r>
        <w:rPr>
          <w:lang w:val="ar_AE" w:bidi="ar_AE"/>
        </w:rPr>
      </w:r>
      <w:r>
        <w:rPr>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hyperlink r:id="rId44">
        <w:r>
          <w:rPr>
            <w:lang w:val="ar_AE" w:bidi="ar_AE"/>
          </w:rPr>
          <w:rPr>
            <w:color w:val="0000EE"/>
            <w:u w:val="single"/>
          </w:rPr>
          <w:t>1 تيموثاوس 3:16</w:t>
        </w:r>
      </w:hyperlink>
      <w:r>
        <w:rPr>
          <w:lang w:val="ar_AE" w:bidi="ar_AE"/>
        </w:rPr>
        <w:t>). لقد كانَتْ صياغةُ قوانين الإيمان تتمُّ في الغالب لمواجَهَةِ التعاليم الكاذِبَةِ.</w:t>
      </w:r>
    </w:p>
    <w:p>
      <w:pPr>
        <w:bidi/>
      </w:pPr>
      <w:r>
        <w:rPr>
          <w:lang w:val="ar_AE" w:bidi="ar_AE"/>
        </w:rPr>
      </w:r>
      <w:r>
        <w:rPr>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