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lang w:val="en_US" w:bidi="en_US"/>
          </w:rPr>
          <w:rPr>
            <w:color w:val="0000EE"/>
            <w:u w:val="single"/>
          </w:rPr>
          <w:t>James 1:1</w:t>
        </w:r>
      </w:hyperlink>
      <w:r>
        <w:rPr>
          <w:lang w:val="en_US" w:bidi="en_US"/>
        </w:rPr>
        <w:t xml:space="preserve">; </w:t>
      </w:r>
      <w:hyperlink r:id="rId14">
        <w:r>
          <w:rPr>
            <w:lang w:val="en_US" w:bidi="en_US"/>
          </w:rPr>
          <w:rPr>
            <w:color w:val="0000EE"/>
            <w:u w:val="single"/>
          </w:rPr>
          <w:t>Acts 8:1</w:t>
        </w:r>
      </w:hyperlink>
      <w:r>
        <w:rPr>
          <w:lang w:val="en_US" w:bidi="en_US"/>
        </w:rPr>
        <w:t xml:space="preserve">; </w:t>
      </w:r>
      <w:hyperlink r:id="rId15">
        <w:r>
          <w:rPr>
            <w:lang w:val="en_US" w:bidi="en_US"/>
          </w:rPr>
          <w:rPr>
            <w:color w:val="0000EE"/>
            <w:u w:val="single"/>
          </w:rPr>
          <w:t>11:19</w:t>
        </w:r>
      </w:hyperlink>
      <w:r>
        <w:rPr>
          <w:lang w:val="en_US" w:bidi="en_US"/>
        </w:rPr>
        <w:t>). They lived among Jews who had "dispersed" in the "Dispersion" (Diaspora) (</w:t>
      </w:r>
      <w:hyperlink r:id="rId13">
        <w:r>
          <w:rPr>
            <w:lang w:val="en_US" w:bidi="en_US"/>
          </w:rPr>
          <w:rPr>
            <w:color w:val="0000EE"/>
            <w:u w:val="single"/>
          </w:rPr>
          <w:t>James 1:1</w:t>
        </w:r>
      </w:hyperlink>
      <w:r>
        <w:rPr>
          <w:lang w:val="en_US" w:bidi="en_US"/>
        </w:rPr>
        <w:t xml:space="preserve">; see </w:t>
      </w:r>
      <w:hyperlink r:id="rId16">
        <w:r>
          <w:rPr>
            <w:lang w:val="en_US" w:bidi="en_US"/>
          </w:rPr>
          <w:rPr>
            <w:color w:val="0000EE"/>
            <w:u w:val="single"/>
          </w:rPr>
          <w:t>John 7:35</w:t>
        </w:r>
      </w:hyperlink>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hyperlink r:id="rId17">
        <w:r>
          <w:rPr>
            <w:lang w:val="en_US" w:bidi="en_US"/>
          </w:rPr>
          <w:rPr>
            <w:color w:val="0000EE"/>
            <w:u w:val="single"/>
          </w:rPr>
          <w:t>James 4:13</w:t>
        </w:r>
      </w:hyperlink>
      <w:r>
        <w:rPr>
          <w:lang w:val="en_US" w:bidi="en_US"/>
        </w:rPr>
        <w:t xml:space="preserve">; </w:t>
      </w:r>
      <w:hyperlink r:id="rId18">
        <w:r>
          <w:rPr>
            <w:lang w:val="en_US" w:bidi="en_US"/>
          </w:rPr>
          <w:rPr>
            <w:color w:val="0000EE"/>
            <w:u w:val="single"/>
          </w:rPr>
          <w:t>Acts 13:14</w:t>
        </w:r>
      </w:hyperlink>
      <w:r>
        <w:rPr>
          <w:lang w:val="en_US" w:bidi="en_US"/>
        </w:rPr>
        <w:t xml:space="preserve">; </w:t>
      </w:r>
      <w:hyperlink r:id="rId19">
        <w:r>
          <w:rPr>
            <w:lang w:val="en_US" w:bidi="en_US"/>
          </w:rPr>
          <w:rPr>
            <w:color w:val="0000EE"/>
            <w:u w:val="single"/>
          </w:rPr>
          <w:t>17:1</w:t>
        </w:r>
      </w:hyperlink>
      <w:r>
        <w:rPr>
          <w:lang w:val="en_US" w:bidi="en_US"/>
        </w:rPr>
        <w:t>). By the middle of the first century AD, Jewish communities existed all over the Greek-Roman world. Jewish Diaspora Christians encountered pressure from a society that abused them in an economic way (</w:t>
      </w:r>
      <w:hyperlink r:id="rId20">
        <w:r>
          <w:rPr>
            <w:lang w:val="en_US" w:bidi="en_US"/>
          </w:rPr>
          <w:rPr>
            <w:color w:val="0000EE"/>
            <w:u w:val="single"/>
          </w:rPr>
          <w:t>James 2:6</w:t>
        </w:r>
      </w:hyperlink>
      <w:r>
        <w:rPr>
          <w:lang w:val="en_US" w:bidi="en_US"/>
        </w:rPr>
        <w:t>). The people treated them badly for their faith in Jesus Christ (</w:t>
      </w:r>
      <w:hyperlink r:id="rId21">
        <w:r>
          <w:rPr>
            <w:lang w:val="en_US" w:bidi="en_US"/>
          </w:rPr>
          <w:rPr>
            <w:color w:val="0000EE"/>
            <w:u w:val="single"/>
          </w:rPr>
          <w:t>2:7</w:t>
        </w:r>
      </w:hyperlink>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hyperlink r:id="rId22">
        <w:r>
          <w:rPr>
            <w:lang w:val="en_US" w:bidi="en_US"/>
          </w:rPr>
          <w:rPr>
            <w:color w:val="0000EE"/>
            <w:u w:val="single"/>
          </w:rPr>
          <w:t>James 1:25</w:t>
        </w:r>
      </w:hyperlink>
      <w:r>
        <w:rPr>
          <w:lang w:val="en_US" w:bidi="en_US"/>
        </w:rPr>
        <w:t xml:space="preserve">; </w:t>
      </w:r>
      <w:hyperlink r:id="rId23">
        <w:r>
          <w:rPr>
            <w:lang w:val="en_US" w:bidi="en_US"/>
          </w:rPr>
          <w:rPr>
            <w:color w:val="0000EE"/>
            <w:u w:val="single"/>
          </w:rPr>
          <w:t>2:8</w:t>
        </w:r>
      </w:hyperlink>
      <w:r>
        <w:rPr>
          <w:lang w:val="en_US" w:bidi="en_US"/>
        </w:rPr>
        <w:t>). James also reflects what Jesus taught, especially as recorded later in Matthew's "Sermon on the Mount" and Luke's "Sermon on the Plain" (</w:t>
      </w:r>
      <w:hyperlink r:id="rId24">
        <w:r>
          <w:rPr>
            <w:lang w:val="en_US" w:bidi="en_US"/>
          </w:rPr>
          <w:rPr>
            <w:color w:val="0000EE"/>
            <w:u w:val="single"/>
          </w:rPr>
          <w:t>Matthew 5–7</w:t>
        </w:r>
      </w:hyperlink>
      <w:r>
        <w:rPr>
          <w:lang w:val="en_US" w:bidi="en_US"/>
        </w:rPr>
        <w:t xml:space="preserve">; </w:t>
      </w:r>
      <w:hyperlink r:id="rId25">
        <w:r>
          <w:rPr>
            <w:lang w:val="en_US" w:bidi="en_US"/>
          </w:rPr>
          <w:rPr>
            <w:color w:val="0000EE"/>
            <w:u w:val="single"/>
          </w:rPr>
          <w:t>Luke 6:20–49</w:t>
        </w:r>
      </w:hyperlink>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hyperlink r:id="rId26">
        <w:r>
          <w:rPr>
            <w:lang w:val="en_US" w:bidi="en_US"/>
          </w:rPr>
          <w:rPr>
            <w:color w:val="0000EE"/>
            <w:u w:val="single"/>
          </w:rPr>
          <w:t>Matthew 13:55</w:t>
        </w:r>
      </w:hyperlink>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hyperlink r:id="rId27">
        <w:r>
          <w:rPr>
            <w:lang w:val="en_US" w:bidi="en_US"/>
          </w:rPr>
          <w:rPr>
            <w:color w:val="0000EE"/>
            <w:u w:val="single"/>
          </w:rPr>
          <w:t>Mark 3:20–21</w:t>
        </w:r>
      </w:hyperlink>
      <w:r>
        <w:rPr>
          <w:lang w:val="en_US" w:bidi="en_US"/>
        </w:rPr>
        <w:t xml:space="preserve">; see also </w:t>
      </w:r>
      <w:hyperlink r:id="rId28">
        <w:r>
          <w:rPr>
            <w:lang w:val="en_US" w:bidi="en_US"/>
          </w:rPr>
          <w:rPr>
            <w:color w:val="0000EE"/>
            <w:u w:val="single"/>
          </w:rPr>
          <w:t>John 7:3–5</w:t>
        </w:r>
      </w:hyperlink>
      <w:r>
        <w:rPr>
          <w:lang w:val="en_US" w:bidi="en_US"/>
        </w:rPr>
        <w:t xml:space="preserve">). </w:t>
      </w:r>
    </w:p>
    <w:p>
      <w:pPr/>
      <w:r>
        <w:rPr>
          <w:lang w:val="en_US" w:bidi="en_US"/>
        </w:rPr>
      </w:r>
      <w:r>
        <w:rPr>
          <w:lang w:val="en_US" w:bidi="en_US"/>
        </w:rPr>
        <w:t xml:space="preserve">After the resurrection of Jesus, James became a believer, probably when the risen Jesus appeared to him and convinced him that Jesus was the Christ (see </w:t>
      </w:r>
      <w:hyperlink r:id="rId29">
        <w:r>
          <w:rPr>
            <w:lang w:val="en_US" w:bidi="en_US"/>
          </w:rPr>
          <w:rPr>
            <w:color w:val="0000EE"/>
            <w:u w:val="single"/>
          </w:rPr>
          <w:t>1 Corinthians 15:7</w:t>
        </w:r>
      </w:hyperlink>
      <w:r>
        <w:rPr>
          <w:lang w:val="en_US" w:bidi="en_US"/>
        </w:rPr>
        <w:t>). James was with the other disciples in the upper room when the Holy Spirit came at the feast of Pentecost (</w:t>
      </w:r>
      <w:hyperlink r:id="rId30">
        <w:r>
          <w:rPr>
            <w:lang w:val="en_US" w:bidi="en_US"/>
          </w:rPr>
          <w:rPr>
            <w:color w:val="0000EE"/>
            <w:u w:val="single"/>
          </w:rPr>
          <w:t>Acts 1:14</w:t>
        </w:r>
      </w:hyperlink>
      <w:r>
        <w:rPr>
          <w:lang w:val="en_US" w:bidi="en_US"/>
        </w:rPr>
        <w:t xml:space="preserve">; </w:t>
      </w:r>
      <w:hyperlink r:id="rId31">
        <w:r>
          <w:rPr>
            <w:lang w:val="en_US" w:bidi="en_US"/>
          </w:rPr>
          <w:rPr>
            <w:color w:val="0000EE"/>
            <w:u w:val="single"/>
          </w:rPr>
          <w:t>2:1–3</w:t>
        </w:r>
      </w:hyperlink>
      <w:r>
        <w:rPr>
          <w:lang w:val="en_US" w:bidi="en_US"/>
        </w:rPr>
        <w:t xml:space="preserve">). He became a leader in the Jerusalem church (see </w:t>
      </w:r>
      <w:hyperlink r:id="rId32">
        <w:r>
          <w:rPr>
            <w:lang w:val="en_US" w:bidi="en_US"/>
          </w:rPr>
          <w:rPr>
            <w:color w:val="0000EE"/>
            <w:u w:val="single"/>
          </w:rPr>
          <w:t>Acts 15:13–22</w:t>
        </w:r>
      </w:hyperlink>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hyperlink r:id="rId33">
        <w:r>
          <w:rPr>
            <w:lang w:val="en_US" w:bidi="en_US"/>
          </w:rPr>
          <w:rPr>
            <w:color w:val="0000EE"/>
            <w:u w:val="single"/>
          </w:rPr>
          <w:t>Acts 12:1–5</w:t>
        </w:r>
      </w:hyperlink>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hyperlink r:id="rId34">
        <w:r>
          <w:rPr>
            <w:lang w:val="en_US" w:bidi="en_US"/>
          </w:rPr>
          <w:rPr>
            <w:color w:val="0000EE"/>
            <w:u w:val="single"/>
          </w:rPr>
          <w:t>James 2:2</w:t>
        </w:r>
      </w:hyperlink>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1:23</w:t>
        </w:r>
      </w:hyperlink>
      <w:r>
        <w:rPr>
          <w:lang w:val="en_US" w:bidi="en_US"/>
        </w:rPr>
        <w:t xml:space="preserve">, </w:t>
      </w:r>
      <w:hyperlink r:id="rId22">
        <w:r>
          <w:rPr>
            <w:lang w:val="en_US" w:bidi="en_US"/>
          </w:rPr>
          <w:rPr>
            <w:color w:val="0000EE"/>
            <w:u w:val="single"/>
          </w:rPr>
          <w:t>25</w:t>
        </w:r>
      </w:hyperlink>
      <w:r>
        <w:rPr>
          <w:lang w:val="en_US" w:bidi="en_US"/>
        </w:rPr>
        <w:t>).</w:t>
      </w:r>
    </w:p>
    <w:p>
      <w:pPr/>
      <w:r>
        <w:rPr>
          <w:lang w:val="en_US" w:bidi="en_US"/>
        </w:rPr>
      </w:r>
      <w:r>
        <w:rPr>
          <w:lang w:val="en_US" w:bidi="en_US"/>
        </w:rPr>
        <w:t>We infer that James wrote this letter from Jerusalem based on information in Acts and Galatians about James’s location (</w:t>
      </w:r>
      <w:hyperlink r:id="rId32">
        <w:r>
          <w:rPr>
            <w:lang w:val="en_US" w:bidi="en_US"/>
          </w:rPr>
          <w:rPr>
            <w:color w:val="0000EE"/>
            <w:u w:val="single"/>
          </w:rPr>
          <w:t>Acts 15:13–22</w:t>
        </w:r>
      </w:hyperlink>
      <w:r>
        <w:rPr>
          <w:lang w:val="en_US" w:bidi="en_US"/>
        </w:rPr>
        <w:t xml:space="preserve">; </w:t>
      </w:r>
      <w:hyperlink r:id="rId37">
        <w:r>
          <w:rPr>
            <w:lang w:val="en_US" w:bidi="en_US"/>
          </w:rPr>
          <w:rPr>
            <w:color w:val="0000EE"/>
            <w:u w:val="single"/>
          </w:rPr>
          <w:t>21:18</w:t>
        </w:r>
      </w:hyperlink>
      <w:r>
        <w:rPr>
          <w:lang w:val="en_US" w:bidi="en_US"/>
        </w:rPr>
        <w:t xml:space="preserve">; </w:t>
      </w:r>
      <w:hyperlink r:id="rId38">
        <w:r>
          <w:rPr>
            <w:lang w:val="en_US" w:bidi="en_US"/>
          </w:rPr>
          <w:rPr>
            <w:color w:val="0000EE"/>
            <w:u w:val="single"/>
          </w:rPr>
          <w:t>Galatians 1:18–19</w:t>
        </w:r>
      </w:hyperlink>
      <w:r>
        <w:rPr>
          <w:lang w:val="en_US" w:bidi="en_US"/>
        </w:rPr>
        <w:t xml:space="preserve">; </w:t>
      </w:r>
      <w:hyperlink r:id="rId39">
        <w:r>
          <w:rPr>
            <w:lang w:val="en_US" w:bidi="en_US"/>
          </w:rPr>
          <w:rPr>
            <w:color w:val="0000EE"/>
            <w:u w:val="single"/>
          </w:rPr>
          <w:t>2:9</w:t>
        </w:r>
      </w:hyperlink>
      <w:r>
        <w:rPr>
          <w:lang w:val="en_US" w:bidi="en_US"/>
        </w:rPr>
        <w:t xml:space="preserve">, </w:t>
      </w:r>
      <w:hyperlink r:id="rId40">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hyperlink r:id="rId41">
        <w:r>
          <w:rPr>
            <w:lang w:val="en_US" w:bidi="en_US"/>
          </w:rPr>
          <w:rPr>
            <w:color w:val="0000EE"/>
            <w:u w:val="single"/>
          </w:rPr>
          <w:t>James 1:11</w:t>
        </w:r>
      </w:hyperlink>
      <w:r>
        <w:rPr>
          <w:lang w:val="en_US" w:bidi="en_US"/>
        </w:rPr>
        <w:t>);</w:t>
      </w:r>
    </w:p>
    <w:p>
      <w:pPr>
        <w:pStyle w:val="ListBullet"/>
        <w:spacing w:line="240" w:lineRule="auto"/>
        <w:ind w:left="720"/>
      </w:pPr>
      <w:r>
        <w:rPr>
          <w:lang w:val="en_US" w:bidi="en_US"/>
        </w:rPr>
      </w:r>
      <w:r>
        <w:rPr>
          <w:lang w:val="en_US" w:bidi="en_US"/>
        </w:rPr>
        <w:t>salty water springs (</w:t>
      </w:r>
      <w:hyperlink r:id="rId42">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lang w:val="en_US" w:bidi="en_US"/>
        </w:rPr>
        <w:t>the growing of figs, olives, and grape vines (</w:t>
      </w:r>
      <w:hyperlink r:id="rId43">
        <w:r>
          <w:rPr>
            <w:lang w:val="en_US" w:bidi="en_US"/>
          </w:rPr>
          <w:rPr>
            <w:color w:val="0000EE"/>
            <w:u w:val="single"/>
          </w:rPr>
          <w:t>3:12</w:t>
        </w:r>
      </w:hyperlink>
      <w:r>
        <w:rPr>
          <w:lang w:val="en_US" w:bidi="en_US"/>
        </w:rPr>
        <w:t>);</w:t>
      </w:r>
    </w:p>
    <w:p>
      <w:pPr>
        <w:pStyle w:val="ListBullet"/>
        <w:spacing w:line="240" w:lineRule="auto"/>
        <w:ind w:left="720"/>
      </w:pPr>
      <w:r>
        <w:rPr>
          <w:lang w:val="en_US" w:bidi="en_US"/>
        </w:rPr>
      </w:r>
      <w:r>
        <w:rPr>
          <w:lang w:val="en_US" w:bidi="en_US"/>
        </w:rPr>
        <w:t>the sea (</w:t>
      </w:r>
      <w:hyperlink r:id="rId44">
        <w:r>
          <w:rPr>
            <w:lang w:val="en_US" w:bidi="en_US"/>
          </w:rPr>
          <w:rPr>
            <w:color w:val="0000EE"/>
            <w:u w:val="single"/>
          </w:rPr>
          <w:t>1:6</w:t>
        </w:r>
      </w:hyperlink>
      <w:r>
        <w:rPr>
          <w:lang w:val="en_US" w:bidi="en_US"/>
        </w:rPr>
        <w:t xml:space="preserve">; </w:t>
      </w:r>
      <w:hyperlink r:id="rId45">
        <w:r>
          <w:rPr>
            <w:lang w:val="en_US" w:bidi="en_US"/>
          </w:rPr>
          <w:rPr>
            <w:color w:val="0000EE"/>
            <w:u w:val="single"/>
          </w:rPr>
          <w:t>3:4</w:t>
        </w:r>
      </w:hyperlink>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hyperlink r:id="rId46">
        <w:r>
          <w:rPr>
            <w:lang w:val="en_US" w:bidi="en_US"/>
          </w:rPr>
          <w:rPr>
            <w:color w:val="0000EE"/>
            <w:u w:val="single"/>
          </w:rPr>
          <w:t>5:7</w:t>
        </w:r>
      </w:hyperlink>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lang w:val="en_US" w:bidi="en_US"/>
          </w:rPr>
          <w:rPr>
            <w:color w:val="0000EE"/>
            <w:u w:val="single"/>
          </w:rPr>
          <w:t>4:6</w:t>
        </w:r>
      </w:hyperlink>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hyperlink r:id="rId48">
        <w:r>
          <w:rPr>
            <w:lang w:val="en_US" w:bidi="en_US"/>
          </w:rPr>
          <w:rPr>
            <w:color w:val="0000EE"/>
            <w:u w:val="single"/>
          </w:rPr>
          <w:t>1:2</w:t>
        </w:r>
      </w:hyperlink>
      <w:r>
        <w:rPr>
          <w:lang w:val="en_US" w:bidi="en_US"/>
        </w:rPr>
        <w:t xml:space="preserve">; </w:t>
      </w:r>
      <w:hyperlink r:id="rId49">
        <w:r>
          <w:rPr>
            <w:lang w:val="en_US" w:bidi="en_US"/>
          </w:rPr>
          <w:rPr>
            <w:color w:val="0000EE"/>
            <w:u w:val="single"/>
          </w:rPr>
          <w:t>2:1</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1">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 questions with the answers assumed (</w:t>
      </w:r>
      <w:hyperlink r:id="rId52">
        <w:r>
          <w:rPr>
            <w:lang w:val="en_US" w:bidi="en_US"/>
          </w:rPr>
          <w:rPr>
            <w:color w:val="0000EE"/>
            <w:u w:val="single"/>
          </w:rPr>
          <w:t>2:5</w:t>
        </w:r>
      </w:hyperlink>
      <w:r>
        <w:rPr>
          <w:lang w:val="en_US" w:bidi="en_US"/>
        </w:rPr>
        <w:t xml:space="preserve">; </w:t>
      </w:r>
      <w:hyperlink r:id="rId42">
        <w:r>
          <w:rPr>
            <w:lang w:val="en_US" w:bidi="en_US"/>
          </w:rPr>
          <w:rPr>
            <w:color w:val="0000EE"/>
            <w:u w:val="single"/>
          </w:rPr>
          <w:t>3:11–12</w:t>
        </w:r>
      </w:hyperlink>
      <w:r>
        <w:rPr>
          <w:lang w:val="en_US" w:bidi="en_US"/>
        </w:rPr>
        <w:t xml:space="preserve">; </w:t>
      </w:r>
      <w:hyperlink r:id="rId53">
        <w:r>
          <w:rPr>
            <w:lang w:val="en_US" w:bidi="en_US"/>
          </w:rPr>
          <w:rPr>
            <w:color w:val="0000EE"/>
            <w:u w:val="single"/>
          </w:rPr>
          <w:t>4:1</w:t>
        </w:r>
      </w:hyperlink>
      <w:r>
        <w:rPr>
          <w:lang w:val="en_US" w:bidi="en_US"/>
        </w:rPr>
        <w:t>),</w:t>
      </w:r>
    </w:p>
    <w:p>
      <w:pPr>
        <w:pStyle w:val="ListBullet"/>
        <w:spacing w:line="240" w:lineRule="auto"/>
        <w:ind w:left="720"/>
      </w:pPr>
      <w:r>
        <w:rPr>
          <w:lang w:val="en_US" w:bidi="en_US"/>
        </w:rPr>
      </w:r>
      <w:r>
        <w:rPr>
          <w:lang w:val="en_US" w:bidi="en_US"/>
        </w:rPr>
        <w:t>strong encouragements (</w:t>
      </w:r>
      <w:hyperlink r:id="rId54">
        <w:r>
          <w:rPr>
            <w:lang w:val="en_US" w:bidi="en_US"/>
          </w:rPr>
          <w:rPr>
            <w:color w:val="0000EE"/>
            <w:u w:val="single"/>
          </w:rPr>
          <w:t>1:16</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5">
        <w:r>
          <w:rPr>
            <w:lang w:val="en_US" w:bidi="en_US"/>
          </w:rPr>
          <w:rPr>
            <w:color w:val="0000EE"/>
            <w:u w:val="single"/>
          </w:rPr>
          <w:t>5:16</w:t>
        </w:r>
      </w:hyperlink>
      <w:r>
        <w:rPr>
          <w:lang w:val="en_US" w:bidi="en_US"/>
        </w:rPr>
        <w:t>),</w:t>
      </w:r>
    </w:p>
    <w:p>
      <w:pPr>
        <w:pStyle w:val="ListBullet"/>
        <w:spacing w:line="240" w:lineRule="auto"/>
        <w:ind w:left="720"/>
      </w:pPr>
      <w:r>
        <w:rPr>
          <w:lang w:val="en_US" w:bidi="en_US"/>
        </w:rPr>
      </w:r>
      <w:r>
        <w:rPr>
          <w:lang w:val="en_US" w:bidi="en_US"/>
        </w:rPr>
        <w:t>metaphors and examples (</w:t>
      </w:r>
      <w:hyperlink r:id="rId56">
        <w:r>
          <w:rPr>
            <w:lang w:val="en_US" w:bidi="en_US"/>
          </w:rPr>
          <w:rPr>
            <w:color w:val="0000EE"/>
            <w:u w:val="single"/>
          </w:rPr>
          <w:t>2:26</w:t>
        </w:r>
      </w:hyperlink>
      <w:r>
        <w:rPr>
          <w:lang w:val="en_US" w:bidi="en_US"/>
        </w:rPr>
        <w:t xml:space="preserve">; </w:t>
      </w:r>
      <w:hyperlink r:id="rId57">
        <w:r>
          <w:rPr>
            <w:lang w:val="en_US" w:bidi="en_US"/>
          </w:rPr>
          <w:rPr>
            <w:color w:val="0000EE"/>
            <w:u w:val="single"/>
          </w:rPr>
          <w:t>3:3–5</w:t>
        </w:r>
      </w:hyperlink>
      <w:r>
        <w:rPr>
          <w:lang w:val="en_US" w:bidi="en_US"/>
        </w:rPr>
        <w:t xml:space="preserve">; </w:t>
      </w:r>
      <w:hyperlink r:id="rId58">
        <w:r>
          <w:rPr>
            <w:lang w:val="en_US" w:bidi="en_US"/>
          </w:rPr>
          <w:rPr>
            <w:color w:val="0000EE"/>
            <w:u w:val="single"/>
          </w:rPr>
          <w:t>4:14</w:t>
        </w:r>
      </w:hyperlink>
      <w:r>
        <w:rPr>
          <w:lang w:val="en_US" w:bidi="en_US"/>
        </w:rPr>
        <w:t>), and</w:t>
      </w:r>
    </w:p>
    <w:p>
      <w:pPr>
        <w:pStyle w:val="ListBullet"/>
        <w:spacing w:line="240" w:lineRule="auto"/>
        <w:ind w:left="720"/>
      </w:pPr>
      <w:r>
        <w:rPr>
          <w:lang w:val="en_US" w:bidi="en_US"/>
        </w:rPr>
      </w:r>
      <w:r>
        <w:rPr>
          <w:lang w:val="en_US" w:bidi="en_US"/>
        </w:rPr>
        <w:t>sayings that summarize paragraphs (</w:t>
      </w:r>
      <w:hyperlink r:id="rId59">
        <w:r>
          <w:rPr>
            <w:lang w:val="en_US" w:bidi="en_US"/>
          </w:rPr>
          <w:rPr>
            <w:color w:val="0000EE"/>
            <w:u w:val="single"/>
          </w:rPr>
          <w:t>2:13</w:t>
        </w:r>
      </w:hyperlink>
      <w:r>
        <w:rPr>
          <w:lang w:val="en_US" w:bidi="en_US"/>
        </w:rPr>
        <w:t xml:space="preserve">, </w:t>
      </w:r>
      <w:hyperlink r:id="rId60">
        <w:r>
          <w:rPr>
            <w:lang w:val="en_US" w:bidi="en_US"/>
          </w:rPr>
          <w:rPr>
            <w:color w:val="0000EE"/>
            <w:u w:val="single"/>
          </w:rPr>
          <w:t>17</w:t>
        </w:r>
      </w:hyperlink>
      <w:r>
        <w:rPr>
          <w:lang w:val="en_US" w:bidi="en_US"/>
        </w:rPr>
        <w:t xml:space="preserve">; </w:t>
      </w:r>
      <w:hyperlink r:id="rId61">
        <w:r>
          <w:rPr>
            <w:lang w:val="en_US" w:bidi="en_US"/>
          </w:rPr>
          <w:rPr>
            <w:color w:val="0000EE"/>
            <w:u w:val="single"/>
          </w:rPr>
          <w:t>3:18</w:t>
        </w:r>
      </w:hyperlink>
      <w:r>
        <w:rPr>
          <w:lang w:val="en_US" w:bidi="en_US"/>
        </w:rPr>
        <w:t xml:space="preserve">; </w:t>
      </w:r>
      <w:hyperlink r:id="rId62">
        <w:r>
          <w:rPr>
            <w:lang w:val="en_US" w:bidi="en_US"/>
          </w:rPr>
          <w:rPr>
            <w:color w:val="0000EE"/>
            <w:u w:val="single"/>
          </w:rPr>
          <w:t>4:17</w:t>
        </w:r>
      </w:hyperlink>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hyperlink r:id="rId44">
        <w:r>
          <w:rPr>
            <w:lang w:val="en_US" w:bidi="en_US"/>
          </w:rPr>
          <w:rPr>
            <w:color w:val="0000EE"/>
            <w:u w:val="single"/>
          </w:rPr>
          <w:t>James 1:6</w:t>
        </w:r>
      </w:hyperlink>
      <w:r>
        <w:rPr>
          <w:lang w:val="en_US" w:bidi="en_US"/>
        </w:rPr>
        <w:t xml:space="preserve">). James recommends: </w:t>
      </w:r>
    </w:p>
    <w:p>
      <w:pPr>
        <w:pStyle w:val="ListBullet"/>
        <w:spacing w:line="240" w:lineRule="auto"/>
        <w:ind w:left="720"/>
      </w:pPr>
      <w:r>
        <w:rPr>
          <w:lang w:val="en_US" w:bidi="en_US"/>
        </w:rPr>
      </w:r>
      <w:r>
        <w:rPr>
          <w:lang w:val="en_US" w:bidi="en_US"/>
        </w:rPr>
        <w:t>patient endurance (</w:t>
      </w:r>
      <w:hyperlink r:id="rId6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submission to God (</w:t>
      </w:r>
      <w:hyperlink r:id="rId64">
        <w:r>
          <w:rPr>
            <w:lang w:val="en_US" w:bidi="en_US"/>
          </w:rPr>
          <w:rPr>
            <w:color w:val="0000EE"/>
            <w:u w:val="single"/>
          </w:rPr>
          <w:t>4:7</w:t>
        </w:r>
      </w:hyperlink>
      <w:r>
        <w:rPr>
          <w:lang w:val="en_US" w:bidi="en_US"/>
        </w:rPr>
        <w:t>), and</w:t>
      </w:r>
    </w:p>
    <w:p>
      <w:pPr>
        <w:pStyle w:val="ListBullet"/>
        <w:spacing w:line="240" w:lineRule="auto"/>
        <w:ind w:left="720"/>
      </w:pPr>
      <w:r>
        <w:rPr>
          <w:lang w:val="en_US" w:bidi="en_US"/>
        </w:rPr>
      </w:r>
      <w:r>
        <w:rPr>
          <w:lang w:val="en_US" w:bidi="en_US"/>
        </w:rPr>
        <w:t>sharing in the ministries of the church (</w:t>
      </w:r>
      <w:hyperlink r:id="rId65">
        <w:r>
          <w:rPr>
            <w:lang w:val="en_US" w:bidi="en_US"/>
          </w:rPr>
          <w:rPr>
            <w:color w:val="0000EE"/>
            <w:u w:val="single"/>
          </w:rPr>
          <w:t>5:13–20</w:t>
        </w:r>
      </w:hyperlink>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hyperlink r:id="rId66">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honor (</w:t>
      </w:r>
      <w:hyperlink r:id="rId67">
        <w:r>
          <w:rPr>
            <w:lang w:val="en_US" w:bidi="en_US"/>
          </w:rPr>
          <w:rPr>
            <w:color w:val="0000EE"/>
            <w:u w:val="single"/>
          </w:rPr>
          <w:t>4:10</w:t>
        </w:r>
      </w:hyperlink>
      <w:r>
        <w:rPr>
          <w:lang w:val="en_US" w:bidi="en_US"/>
        </w:rPr>
        <w:t>), and</w:t>
      </w:r>
    </w:p>
    <w:p>
      <w:pPr>
        <w:pStyle w:val="ListBullet"/>
        <w:spacing w:line="240" w:lineRule="auto"/>
        <w:ind w:left="720"/>
      </w:pPr>
      <w:r>
        <w:rPr>
          <w:lang w:val="en_US" w:bidi="en_US"/>
        </w:rPr>
      </w:r>
      <w:r>
        <w:rPr>
          <w:lang w:val="en_US" w:bidi="en_US"/>
        </w:rPr>
        <w:t>a glorious life when Jesus Christ returns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5:8</w:t>
        </w:r>
      </w:hyperlink>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hyperlink r:id="rId70">
        <w:r>
          <w:rPr>
            <w:lang w:val="en_US" w:bidi="en_US"/>
          </w:rPr>
          <w:rPr>
            <w:color w:val="0000EE"/>
            <w:u w:val="single"/>
          </w:rPr>
          <w:t>Acts 21:18–25</w:t>
        </w:r>
      </w:hyperlink>
      <w:r>
        <w:rPr>
          <w:lang w:val="en_US" w:bidi="en_US"/>
        </w:rPr>
        <w:t>). He also understood the mission to the non-Jews (gentiles). He concludes that gentiles could become Christians without first converting to Judaism. He referred to God's covenant with Noah (</w:t>
      </w:r>
      <w:hyperlink r:id="rId71">
        <w:r>
          <w:rPr>
            <w:lang w:val="en_US" w:bidi="en_US"/>
          </w:rPr>
          <w:rPr>
            <w:color w:val="0000EE"/>
            <w:u w:val="single"/>
          </w:rPr>
          <w:t>Acts 15:19–22</w:t>
        </w:r>
      </w:hyperlink>
      <w:r>
        <w:rPr>
          <w:lang w:val="en_US" w:bidi="en_US"/>
        </w:rPr>
        <w:t xml:space="preserve">; see </w:t>
      </w:r>
      <w:hyperlink r:id="rId72">
        <w:r>
          <w:rPr>
            <w:lang w:val="en_US" w:bidi="en_US"/>
          </w:rPr>
          <w:rPr>
            <w:color w:val="0000EE"/>
            <w:u w:val="single"/>
          </w:rPr>
          <w:t>Genesis 9:1–17</w:t>
        </w:r>
      </w:hyperlink>
      <w:r>
        <w:rPr>
          <w:lang w:val="en_US" w:bidi="en_US"/>
        </w:rPr>
        <w:t>). In his letter, James upholds the law while also suggesting a new interpretation of it through the life and teaching of Jesus the Messiah (</w:t>
      </w:r>
      <w:hyperlink r:id="rId22">
        <w:r>
          <w:rPr>
            <w:lang w:val="en_US" w:bidi="en_US"/>
          </w:rPr>
          <w:rPr>
            <w:color w:val="0000EE"/>
            <w:u w:val="single"/>
          </w:rPr>
          <w:t>James 1:25</w:t>
        </w:r>
      </w:hyperlink>
      <w:r>
        <w:rPr>
          <w:lang w:val="en_US" w:bidi="en_US"/>
        </w:rPr>
        <w:t xml:space="preserve">; </w:t>
      </w:r>
      <w:hyperlink r:id="rId73">
        <w:r>
          <w:rPr>
            <w:lang w:val="en_US" w:bidi="en_US"/>
          </w:rPr>
          <w:rPr>
            <w:color w:val="0000EE"/>
            <w:u w:val="single"/>
          </w:rPr>
          <w:t>2:8–11</w:t>
        </w:r>
      </w:hyperlink>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hyperlink r:id="rId74">
        <w:r>
          <w:rPr>
            <w:lang w:val="en_US" w:bidi="en_US"/>
          </w:rPr>
          <w:rPr>
            <w:color w:val="0000EE"/>
            <w:u w:val="single"/>
          </w:rPr>
          <w:t>Romans 2:29</w:t>
        </w:r>
      </w:hyperlink>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hyperlink r:id="rId13">
        <w:r>
          <w:rPr>
            <w:lang w:val="en_US" w:bidi="en_US"/>
          </w:rPr>
          <w:rPr>
            <w:color w:val="0000EE"/>
            <w:u w:val="single"/>
          </w:rPr>
          <w:t>1:1</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50">
        <w:r>
          <w:rPr>
            <w:lang w:val="en_US" w:bidi="en_US"/>
          </w:rPr>
          <w:rPr>
            <w:color w:val="0000EE"/>
            <w:u w:val="single"/>
          </w:rPr>
          <w:t>3:1</w:t>
        </w:r>
      </w:hyperlink>
      <w:r>
        <w:rPr>
          <w:lang w:val="en_US" w:bidi="en_US"/>
        </w:rPr>
        <w:t>). He often refers to the law of Moses (</w:t>
      </w:r>
      <w:hyperlink r:id="rId22">
        <w:r>
          <w:rPr>
            <w:lang w:val="en_US" w:bidi="en_US"/>
          </w:rPr>
          <w:rPr>
            <w:color w:val="0000EE"/>
            <w:u w:val="single"/>
          </w:rPr>
          <w:t>1:25</w:t>
        </w:r>
      </w:hyperlink>
      <w:r>
        <w:rPr>
          <w:lang w:val="en_US" w:bidi="en_US"/>
        </w:rPr>
        <w:t xml:space="preserve">; </w:t>
      </w:r>
      <w:hyperlink r:id="rId75">
        <w:r>
          <w:rPr>
            <w:lang w:val="en_US" w:bidi="en_US"/>
          </w:rPr>
          <w:rPr>
            <w:color w:val="0000EE"/>
            <w:u w:val="single"/>
          </w:rPr>
          <w:t>2:8–12</w:t>
        </w:r>
      </w:hyperlink>
      <w:r>
        <w:rPr>
          <w:lang w:val="en_US" w:bidi="en_US"/>
        </w:rPr>
        <w:t xml:space="preserve">; </w:t>
      </w:r>
      <w:hyperlink r:id="rId51">
        <w:r>
          <w:rPr>
            <w:lang w:val="en_US" w:bidi="en_US"/>
          </w:rPr>
          <w:rPr>
            <w:color w:val="0000EE"/>
            <w:u w:val="single"/>
          </w:rPr>
          <w:t>4:11</w:t>
        </w:r>
      </w:hyperlink>
      <w:r>
        <w:rPr>
          <w:lang w:val="en_US" w:bidi="en_US"/>
        </w:rPr>
        <w:t xml:space="preserve">). He cites Israel's belief statement (the </w:t>
      </w:r>
      <w:r>
        <w:rPr>
          <w:i/>
          <w:lang w:val="en_US" w:bidi="en_US"/>
        </w:rPr>
        <w:t>Shema</w:t>
      </w:r>
      <w:r>
        <w:rPr>
          <w:lang w:val="en_US" w:bidi="en_US"/>
        </w:rPr>
        <w:t xml:space="preserve">, </w:t>
      </w:r>
      <w:hyperlink r:id="rId76">
        <w:r>
          <w:rPr>
            <w:lang w:val="en_US" w:bidi="en_US"/>
          </w:rPr>
          <w:rPr>
            <w:color w:val="0000EE"/>
            <w:u w:val="single"/>
          </w:rPr>
          <w:t>2:19</w:t>
        </w:r>
      </w:hyperlink>
      <w:r>
        <w:rPr>
          <w:lang w:val="en_US" w:bidi="en_US"/>
        </w:rPr>
        <w:t>). He names God as "</w:t>
      </w:r>
      <w:r>
        <w:rPr>
          <w:lang w:val="en_US" w:bidi="en_US"/>
        </w:rPr>
        <w:t>the Lord of Hosts</w:t>
      </w:r>
      <w:r>
        <w:rPr>
          <w:lang w:val="en_US" w:bidi="en_US"/>
        </w:rPr>
        <w:t>," a common Old Testament title (</w:t>
      </w:r>
      <w:hyperlink r:id="rId77">
        <w:r>
          <w:rPr>
            <w:lang w:val="en_US" w:bidi="en_US"/>
          </w:rPr>
          <w:rPr>
            <w:color w:val="0000EE"/>
            <w:u w:val="single"/>
          </w:rPr>
          <w:t>5:4</w:t>
        </w:r>
      </w:hyperlink>
      <w:r>
        <w:rPr>
          <w:lang w:val="en_US" w:bidi="en_US"/>
        </w:rPr>
        <w:t xml:space="preserve">). </w:t>
      </w:r>
    </w:p>
    <w:p>
      <w:pPr/>
      <w:r>
        <w:rPr>
          <w:lang w:val="en_US" w:bidi="en_US"/>
        </w:rPr>
      </w:r>
      <w:r>
        <w:rPr>
          <w:lang w:val="en_US" w:bidi="en_US"/>
        </w:rPr>
        <w:t>James also uses elements from Old Testament wisdom literature and warnings of prophets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3:13</w:t>
        </w:r>
      </w:hyperlink>
      <w:r>
        <w:rPr>
          <w:lang w:val="en_US" w:bidi="en_US"/>
        </w:rPr>
        <w:t xml:space="preserve">, </w:t>
      </w:r>
      <w:hyperlink r:id="rId80">
        <w:r>
          <w:rPr>
            <w:lang w:val="en_US" w:bidi="en_US"/>
          </w:rPr>
          <w:rPr>
            <w:color w:val="0000EE"/>
            <w:u w:val="single"/>
          </w:rPr>
          <w:t>17</w:t>
        </w:r>
      </w:hyperlink>
      <w:r>
        <w:rPr>
          <w:lang w:val="en_US" w:bidi="en_US"/>
        </w:rPr>
        <w:t xml:space="preserve">; </w:t>
      </w:r>
      <w:hyperlink r:id="rId17">
        <w:r>
          <w:rPr>
            <w:lang w:val="en_US" w:bidi="en_US"/>
          </w:rPr>
          <w:rPr>
            <w:color w:val="0000EE"/>
            <w:u w:val="single"/>
          </w:rPr>
          <w:t>4:13</w:t>
        </w:r>
      </w:hyperlink>
      <w:r>
        <w:rPr>
          <w:lang w:val="en_US" w:bidi="en_US"/>
        </w:rPr>
        <w:t xml:space="preserve">; </w:t>
      </w:r>
      <w:hyperlink r:id="rId81">
        <w:r>
          <w:rPr>
            <w:lang w:val="en_US" w:bidi="en_US"/>
          </w:rPr>
          <w:rPr>
            <w:color w:val="0000EE"/>
            <w:u w:val="single"/>
          </w:rPr>
          <w:t>5:1</w:t>
        </w:r>
      </w:hyperlink>
      <w:r>
        <w:rPr>
          <w:lang w:val="en_US" w:bidi="en_US"/>
        </w:rPr>
        <w:t>). He appeals to Israelite heroes like: Abraham, Rahab, Job, and Elijah (</w:t>
      </w:r>
      <w:hyperlink r:id="rId82">
        <w:r>
          <w:rPr>
            <w:lang w:val="en_US" w:bidi="en_US"/>
          </w:rPr>
          <w:rPr>
            <w:color w:val="0000EE"/>
            <w:u w:val="single"/>
          </w:rPr>
          <w:t>2:21</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2:25</w:t>
        </w:r>
      </w:hyperlink>
      <w:r>
        <w:rPr>
          <w:lang w:val="en_US" w:bidi="en_US"/>
        </w:rPr>
        <w:t xml:space="preserve">; </w:t>
      </w:r>
      <w:hyperlink r:id="rId85">
        <w:r>
          <w:rPr>
            <w:lang w:val="en_US" w:bidi="en_US"/>
          </w:rPr>
          <w:rPr>
            <w:color w:val="0000EE"/>
            <w:u w:val="single"/>
          </w:rPr>
          <w:t>5:11</w:t>
        </w:r>
      </w:hyperlink>
      <w:r>
        <w:rPr>
          <w:lang w:val="en_US" w:bidi="en_US"/>
        </w:rPr>
        <w:t xml:space="preserve">; </w:t>
      </w:r>
      <w:hyperlink r:id="rId86">
        <w:r>
          <w:rPr>
            <w:lang w:val="en_US" w:bidi="en_US"/>
          </w:rPr>
          <w:rPr>
            <w:color w:val="0000EE"/>
            <w:u w:val="single"/>
          </w:rPr>
          <w:t>5:17</w:t>
        </w:r>
      </w:hyperlink>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hyperlink r:id="rId87">
        <w:r>
          <w:rPr>
            <w:lang w:val="en_US" w:bidi="en_US"/>
          </w:rPr>
          <w:rPr>
            <w:color w:val="0000EE"/>
            <w:u w:val="single"/>
          </w:rPr>
          <w:t>Ephesians 2:8–9</w:t>
        </w:r>
      </w:hyperlink>
      <w:r>
        <w:rPr>
          <w:lang w:val="en_US" w:bidi="en_US"/>
        </w:rPr>
        <w:t>). People cannot become right with God by following the law (</w:t>
      </w:r>
      <w:hyperlink r:id="rId88">
        <w:r>
          <w:rPr>
            <w:lang w:val="en_US" w:bidi="en_US"/>
          </w:rPr>
          <w:rPr>
            <w:color w:val="0000EE"/>
            <w:u w:val="single"/>
          </w:rPr>
          <w:t>Romans 3:20</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Galatians 2:16</w:t>
        </w:r>
      </w:hyperlink>
      <w:r>
        <w:rPr>
          <w:lang w:val="en_US" w:bidi="en_US"/>
        </w:rPr>
        <w:t xml:space="preserve">; </w:t>
      </w:r>
      <w:hyperlink r:id="rId91">
        <w:r>
          <w:rPr>
            <w:lang w:val="en_US" w:bidi="en_US"/>
          </w:rPr>
          <w:rPr>
            <w:color w:val="0000EE"/>
            <w:u w:val="single"/>
          </w:rPr>
          <w:t>Romans 4:3–5</w:t>
        </w:r>
      </w:hyperlink>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lang w:val="en_US" w:bidi="en_US"/>
          </w:rPr>
          <w:rPr>
            <w:color w:val="0000EE"/>
            <w:u w:val="single"/>
          </w:rPr>
          <w:t>2:19</w:t>
        </w:r>
      </w:hyperlink>
      <w:r>
        <w:rPr>
          <w:lang w:val="en_US" w:bidi="en_US"/>
        </w:rPr>
        <w:t xml:space="preserve">; </w:t>
      </w:r>
      <w:hyperlink r:id="rId92">
        <w:r>
          <w:rPr>
            <w:lang w:val="en_US" w:bidi="en_US"/>
          </w:rPr>
          <w:rPr>
            <w:color w:val="0000EE"/>
            <w:u w:val="single"/>
          </w:rPr>
          <w:t>1:8</w:t>
        </w:r>
      </w:hyperlink>
      <w:r>
        <w:rPr>
          <w:lang w:val="en_US" w:bidi="en_US"/>
        </w:rPr>
        <w:t xml:space="preserve">; </w:t>
      </w:r>
      <w:hyperlink r:id="rId93">
        <w:r>
          <w:rPr>
            <w:lang w:val="en_US" w:bidi="en_US"/>
          </w:rPr>
          <w:rPr>
            <w:color w:val="0000EE"/>
            <w:u w:val="single"/>
          </w:rPr>
          <w:t>4:4</w:t>
        </w:r>
      </w:hyperlink>
      <w:r>
        <w:rPr>
          <w:lang w:val="en_US" w:bidi="en_US"/>
        </w:rPr>
        <w:t xml:space="preserve">, </w:t>
      </w:r>
      <w:hyperlink r:id="rId64">
        <w:r>
          <w:rPr>
            <w:lang w:val="en_US" w:bidi="en_US"/>
          </w:rPr>
          <w:rPr>
            <w:color w:val="0000EE"/>
            <w:u w:val="single"/>
          </w:rPr>
          <w:t>7</w:t>
        </w:r>
      </w:hyperlink>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