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hyperlink r:id="rId13">
        <w:r>
          <w:rPr>
            <w:lang w:val="fr_FR" w:bidi="fr_FR"/>
          </w:rPr>
          <w:rPr>
            <w:color w:val="0000EE"/>
            <w:u w:val="single"/>
          </w:rPr>
          <w:t>1Th 1.6</w:t>
        </w:r>
      </w:hyperlink>
      <w:r>
        <w:rPr>
          <w:lang w:val="fr_FR" w:bidi="fr_FR"/>
        </w:rPr>
        <w:t xml:space="preserve"> ; </w:t>
      </w:r>
      <w:hyperlink r:id="rId14">
        <w:r>
          <w:rPr>
            <w:lang w:val="fr_FR" w:bidi="fr_FR"/>
          </w:rPr>
          <w:rPr>
            <w:color w:val="0000EE"/>
            <w:u w:val="single"/>
          </w:rPr>
          <w:t>2.14</w:t>
        </w:r>
      </w:hyperlink>
      <w:r>
        <w:rPr>
          <w:lang w:val="fr_FR" w:bidi="fr_FR"/>
        </w:rPr>
        <w:t>), et Paul s’était inquiété de savoir s’ils conserveraient leur foi (</w:t>
      </w:r>
      <w:hyperlink r:id="rId15">
        <w:r>
          <w:rPr>
            <w:lang w:val="fr_FR" w:bidi="fr_FR"/>
          </w:rPr>
          <w:rPr>
            <w:color w:val="0000EE"/>
            <w:u w:val="single"/>
          </w:rPr>
          <w:t>1Th 3.5</w:t>
        </w:r>
      </w:hyperlink>
      <w:r>
        <w:rPr>
          <w:lang w:val="fr_FR" w:bidi="fr_FR"/>
        </w:rPr>
        <w:t>). Lorsque Paul a écrit la première lettre aux Thessaloniciens, ils étaient restés fermes dans la foi, l’amour et l’espérance (</w:t>
      </w:r>
      <w:hyperlink r:id="rId16">
        <w:r>
          <w:rPr>
            <w:lang w:val="fr_FR" w:bidi="fr_FR"/>
          </w:rPr>
          <w:rPr>
            <w:color w:val="0000EE"/>
            <w:u w:val="single"/>
          </w:rPr>
          <w:t>1Th 1.3</w:t>
        </w:r>
      </w:hyperlink>
      <w:r>
        <w:rPr>
          <w:lang w:val="fr_FR" w:bidi="fr_FR"/>
        </w:rPr>
        <w:t xml:space="preserve"> ; </w:t>
      </w:r>
      <w:hyperlink r:id="rId17">
        <w:r>
          <w:rPr>
            <w:lang w:val="fr_FR" w:bidi="fr_FR"/>
          </w:rPr>
          <w:rPr>
            <w:color w:val="0000EE"/>
            <w:u w:val="single"/>
          </w:rPr>
          <w:t>3.6–8</w:t>
        </w:r>
      </w:hyperlink>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18">
        <w:r>
          <w:rPr>
            <w:lang w:val="fr_FR" w:bidi="fr_FR"/>
          </w:rPr>
          <w:rPr>
            <w:color w:val="0000EE"/>
            <w:u w:val="single"/>
          </w:rPr>
          <w:t>2.2</w:t>
        </w:r>
      </w:hyperlink>
      <w:r>
        <w:rPr>
          <w:lang w:val="fr_FR" w:bidi="fr_FR"/>
        </w:rPr>
        <w:t>). Paul a écrit la deuxième lettre aux Thessaloniciens après avoir reçu cette nouvelle (</w:t>
      </w:r>
      <w:hyperlink r:id="rId18">
        <w:r>
          <w:rPr>
            <w:lang w:val="fr_FR" w:bidi="fr_FR"/>
          </w:rPr>
          <w:rPr>
            <w:color w:val="0000EE"/>
            <w:u w:val="single"/>
          </w:rPr>
          <w:t>2.2</w:t>
        </w:r>
      </w:hyperlink>
      <w:r>
        <w:rPr>
          <w:lang w:val="fr_FR" w:bidi="fr_FR"/>
        </w:rPr>
        <w:t xml:space="preserve"> ; </w:t>
      </w:r>
      <w:hyperlink r:id="rId19">
        <w:r>
          <w:rPr>
            <w:lang w:val="fr_FR" w:bidi="fr_FR"/>
          </w:rPr>
          <w:rPr>
            <w:color w:val="0000EE"/>
            <w:u w:val="single"/>
          </w:rPr>
          <w:t>3.11</w:t>
        </w:r>
      </w:hyperlink>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hyperlink r:id="rId20">
        <w:r>
          <w:rPr>
            <w:lang w:val="fr_FR" w:bidi="fr_FR"/>
          </w:rPr>
          <w:rPr>
            <w:color w:val="0000EE"/>
            <w:u w:val="single"/>
          </w:rPr>
          <w:t>1.1–2</w:t>
        </w:r>
      </w:hyperlink>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hyperlink r:id="rId21">
        <w:r>
          <w:rPr>
            <w:lang w:val="fr_FR" w:bidi="fr_FR"/>
          </w:rPr>
          <w:rPr>
            <w:color w:val="0000EE"/>
            <w:u w:val="single"/>
          </w:rPr>
          <w:t>1.3–4</w:t>
        </w:r>
      </w:hyperlink>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hyperlink r:id="rId22">
        <w:r>
          <w:rPr>
            <w:lang w:val="fr_FR" w:bidi="fr_FR"/>
          </w:rPr>
          <w:rPr>
            <w:color w:val="0000EE"/>
            <w:u w:val="single"/>
          </w:rPr>
          <w:t>1.5–10</w:t>
        </w:r>
      </w:hyperlink>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hyperlink r:id="rId23">
        <w:r>
          <w:rPr>
            <w:lang w:val="fr_FR" w:bidi="fr_FR"/>
          </w:rPr>
          <w:rPr>
            <w:color w:val="0000EE"/>
            <w:u w:val="single"/>
          </w:rPr>
          <w:t>1.11–12</w:t>
        </w:r>
      </w:hyperlink>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hyperlink r:id="rId24">
        <w:r>
          <w:rPr>
            <w:lang w:val="fr_FR" w:bidi="fr_FR"/>
          </w:rPr>
          <w:rPr>
            <w:color w:val="0000EE"/>
            <w:u w:val="single"/>
          </w:rPr>
          <w:t>2.1–2</w:t>
        </w:r>
      </w:hyperlink>
      <w:r>
        <w:rPr>
          <w:lang w:val="fr_FR" w:bidi="fr_FR"/>
        </w:rPr>
        <w:t>) et exhorte l’Église à ne pas se laisser tromper par cette doctrine (</w:t>
      </w:r>
      <w:hyperlink r:id="rId25">
        <w:r>
          <w:rPr>
            <w:lang w:val="fr_FR" w:bidi="fr_FR"/>
          </w:rPr>
          <w:rPr>
            <w:color w:val="0000EE"/>
            <w:u w:val="single"/>
          </w:rPr>
          <w:t>2.3</w:t>
        </w:r>
      </w:hyperlink>
      <w:r>
        <w:rPr>
          <w:lang w:val="fr_FR" w:bidi="fr_FR"/>
        </w:rPr>
        <w:t>). Il décrit les événements qui précéderont la venue du Christ, lorsque l’Église sera rassemblée pour le rencontrer (</w:t>
      </w:r>
      <w:hyperlink r:id="rId26">
        <w:r>
          <w:rPr>
            <w:lang w:val="fr_FR" w:bidi="fr_FR"/>
          </w:rPr>
          <w:rPr>
            <w:color w:val="0000EE"/>
            <w:u w:val="single"/>
          </w:rPr>
          <w:t>2.1–12</w:t>
        </w:r>
      </w:hyperlink>
      <w:r>
        <w:rPr>
          <w:lang w:val="fr_FR" w:bidi="fr_FR"/>
        </w:rPr>
        <w:t>). D’abord, il y aura une rébellion contre Dieu (</w:t>
      </w:r>
      <w:hyperlink r:id="rId25">
        <w:r>
          <w:rPr>
            <w:lang w:val="fr_FR" w:bidi="fr_FR"/>
          </w:rPr>
          <w:rPr>
            <w:color w:val="0000EE"/>
            <w:u w:val="single"/>
          </w:rPr>
          <w:t>2.3</w:t>
        </w:r>
      </w:hyperlink>
      <w:r>
        <w:rPr>
          <w:lang w:val="fr_FR" w:bidi="fr_FR"/>
        </w:rPr>
        <w:t>). Ensuite, « l’homme de l’iniquité » viendra, prétendant être divin et exigeant un culte (</w:t>
      </w:r>
      <w:hyperlink r:id="rId27">
        <w:r>
          <w:rPr>
            <w:lang w:val="fr_FR" w:bidi="fr_FR"/>
          </w:rPr>
          <w:rPr>
            <w:color w:val="0000EE"/>
            <w:u w:val="single"/>
          </w:rPr>
          <w:t>2.3–4</w:t>
        </w:r>
      </w:hyperlink>
      <w:r>
        <w:rPr>
          <w:lang w:val="fr_FR" w:bidi="fr_FR"/>
        </w:rPr>
        <w:t>). Bien qu’il soit soutenu par Satan et trompe beaucoup de gens, Jésus le détruira (</w:t>
      </w:r>
      <w:hyperlink r:id="rId28">
        <w:r>
          <w:rPr>
            <w:lang w:val="fr_FR" w:bidi="fr_FR"/>
          </w:rPr>
          <w:rPr>
            <w:color w:val="0000EE"/>
            <w:u w:val="single"/>
          </w:rPr>
          <w:t>2.8–12</w:t>
        </w:r>
      </w:hyperlink>
      <w:r>
        <w:rPr>
          <w:lang w:val="fr_FR" w:bidi="fr_FR"/>
        </w:rPr>
        <w:t>).</w:t>
      </w:r>
    </w:p>
    <w:p>
      <w:pPr/>
      <w:r>
        <w:rPr>
          <w:lang w:val="fr_FR" w:bidi="fr_FR"/>
        </w:rPr>
      </w:r>
      <w:r>
        <w:rPr>
          <w:lang w:val="fr_FR" w:bidi="fr_FR"/>
        </w:rPr>
        <w:t>Paul est convaincu que Dieu a choisi et appelé les chrétiens de Thessalonique, et il les exhorte à rester fermes (</w:t>
      </w:r>
      <w:hyperlink r:id="rId29">
        <w:r>
          <w:rPr>
            <w:lang w:val="fr_FR" w:bidi="fr_FR"/>
          </w:rPr>
          <w:rPr>
            <w:color w:val="0000EE"/>
            <w:u w:val="single"/>
          </w:rPr>
          <w:t>2.13–15</w:t>
        </w:r>
      </w:hyperlink>
      <w:r>
        <w:rPr>
          <w:lang w:val="fr_FR" w:bidi="fr_FR"/>
        </w:rPr>
        <w:t>). Paul conclut sa discussion sur les événements finaux par une prière pour l’Église (</w:t>
      </w:r>
      <w:hyperlink r:id="rId30">
        <w:r>
          <w:rPr>
            <w:lang w:val="fr_FR" w:bidi="fr_FR"/>
          </w:rPr>
          <w:rPr>
            <w:color w:val="0000EE"/>
            <w:u w:val="single"/>
          </w:rPr>
          <w:t>2.16–17</w:t>
        </w:r>
      </w:hyperlink>
      <w:r>
        <w:rPr>
          <w:lang w:val="fr_FR" w:bidi="fr_FR"/>
        </w:rPr>
        <w:t>) et une demande de prier pour lui alors qu’il prêche la Bonne Nouvelle (</w:t>
      </w:r>
      <w:hyperlink r:id="rId31">
        <w:r>
          <w:rPr>
            <w:lang w:val="fr_FR" w:bidi="fr_FR"/>
          </w:rPr>
          <w:rPr>
            <w:color w:val="0000EE"/>
            <w:u w:val="single"/>
          </w:rPr>
          <w:t>3.1–2</w:t>
        </w:r>
      </w:hyperlink>
      <w:r>
        <w:rPr>
          <w:lang w:val="fr_FR" w:bidi="fr_FR"/>
        </w:rPr>
        <w:t>). Sa confiance en l’église est fondée sur l’œuvre de Dieu en elle (</w:t>
      </w:r>
      <w:hyperlink r:id="rId32">
        <w:r>
          <w:rPr>
            <w:lang w:val="fr_FR" w:bidi="fr_FR"/>
          </w:rPr>
          <w:rPr>
            <w:color w:val="0000EE"/>
            <w:u w:val="single"/>
          </w:rPr>
          <w:t>3.3–5</w:t>
        </w:r>
      </w:hyperlink>
      <w:r>
        <w:rPr>
          <w:lang w:val="fr_FR" w:bidi="fr_FR"/>
        </w:rPr>
        <w:t>).</w:t>
      </w:r>
    </w:p>
    <w:p>
      <w:pPr/>
      <w:r>
        <w:rPr>
          <w:lang w:val="fr_FR" w:bidi="fr_FR"/>
        </w:rPr>
      </w:r>
      <w:r>
        <w:rPr>
          <w:lang w:val="fr_FR" w:bidi="fr_FR"/>
        </w:rPr>
        <w:t>À la fin de la lettre (</w:t>
      </w:r>
      <w:hyperlink r:id="rId33">
        <w:r>
          <w:rPr>
            <w:lang w:val="fr_FR" w:bidi="fr_FR"/>
          </w:rPr>
          <w:rPr>
            <w:color w:val="0000EE"/>
            <w:u w:val="single"/>
          </w:rPr>
          <w:t>3.6–18</w:t>
        </w:r>
      </w:hyperlink>
      <w:r>
        <w:rPr>
          <w:lang w:val="fr_FR" w:bidi="fr_FR"/>
        </w:rPr>
        <w:t>), Paul revient sur un problème qu’il avait abordé dans la première lettre. Certains croyants refusaient de travailler, malgré l’instruction et l’exemple de Paul, alors Paul appelle l’Église à les discipliner (</w:t>
      </w:r>
      <w:hyperlink r:id="rId34">
        <w:r>
          <w:rPr>
            <w:lang w:val="fr_FR" w:bidi="fr_FR"/>
          </w:rPr>
          <w:rPr>
            <w:color w:val="0000EE"/>
            <w:u w:val="single"/>
          </w:rPr>
          <w:t>3.6–10</w:t>
        </w:r>
      </w:hyperlink>
      <w:r>
        <w:rPr>
          <w:lang w:val="fr_FR" w:bidi="fr_FR"/>
        </w:rPr>
        <w:t>). Il s’adresse également directement à ces membres oisifs, leur disant de se mettre au travail (</w:t>
      </w:r>
      <w:hyperlink r:id="rId35">
        <w:r>
          <w:rPr>
            <w:lang w:val="fr_FR" w:bidi="fr_FR"/>
          </w:rPr>
          <w:rPr>
            <w:color w:val="0000EE"/>
            <w:u w:val="single"/>
          </w:rPr>
          <w:t>3.11–12</w:t>
        </w:r>
      </w:hyperlink>
      <w:r>
        <w:rPr>
          <w:lang w:val="fr_FR" w:bidi="fr_FR"/>
        </w:rPr>
        <w:t>). Il ordonne à l’Église de traiter ces paresseux comme des chrétiens errants plutôt que comme des ennemis hostiles (</w:t>
      </w:r>
      <w:hyperlink r:id="rId36">
        <w:r>
          <w:rPr>
            <w:lang w:val="fr_FR" w:bidi="fr_FR"/>
          </w:rPr>
          <w:rPr>
            <w:color w:val="0000EE"/>
            <w:u w:val="single"/>
          </w:rPr>
          <w:t>3.14–15</w:t>
        </w:r>
      </w:hyperlink>
      <w:r>
        <w:rPr>
          <w:lang w:val="fr_FR" w:bidi="fr_FR"/>
        </w:rPr>
        <w:t>), et il encourage l’Église à continuer d’être généreuse envers ceux qui sont réellement dans le besoin (</w:t>
      </w:r>
      <w:hyperlink r:id="rId37">
        <w:r>
          <w:rPr>
            <w:lang w:val="fr_FR" w:bidi="fr_FR"/>
          </w:rPr>
          <w:rPr>
            <w:color w:val="0000EE"/>
            <w:u w:val="single"/>
          </w:rPr>
          <w:t>3.13</w:t>
        </w:r>
      </w:hyperlink>
      <w:r>
        <w:rPr>
          <w:lang w:val="fr_FR" w:bidi="fr_FR"/>
        </w:rPr>
        <w:t>). Il clôt la lettre par des prières et un salut final (</w:t>
      </w:r>
      <w:hyperlink r:id="rId38">
        <w:r>
          <w:rPr>
            <w:lang w:val="fr_FR" w:bidi="fr_FR"/>
          </w:rPr>
          <w:rPr>
            <w:color w:val="0000EE"/>
            <w:u w:val="single"/>
          </w:rPr>
          <w:t>3.16–18</w:t>
        </w:r>
      </w:hyperlink>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hyperlink r:id="rId39">
        <w:r>
          <w:rPr>
            <w:lang w:val="fr_FR" w:bidi="fr_FR"/>
          </w:rPr>
          <w:rPr>
            <w:color w:val="0000EE"/>
            <w:u w:val="single"/>
          </w:rPr>
          <w:t>1.1</w:t>
        </w:r>
      </w:hyperlink>
      <w:r>
        <w:rPr>
          <w:lang w:val="fr_FR" w:bidi="fr_FR"/>
        </w:rPr>
        <w:t>) ; à la fin, Paul ajoute une note de sa propre main pour certifier l’authenticité de la lettre (</w:t>
      </w:r>
      <w:hyperlink r:id="rId40">
        <w:r>
          <w:rPr>
            <w:lang w:val="fr_FR" w:bidi="fr_FR"/>
          </w:rPr>
          <w:rPr>
            <w:color w:val="0000EE"/>
            <w:u w:val="single"/>
          </w:rPr>
          <w:t>3.17</w:t>
        </w:r>
      </w:hyperlink>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hyperlink r:id="rId39">
        <w:r>
          <w:rPr>
            <w:lang w:val="fr_FR" w:bidi="fr_FR"/>
          </w:rPr>
          <w:rPr>
            <w:color w:val="0000EE"/>
            <w:u w:val="single"/>
          </w:rPr>
          <w:t>2Th 1.1</w:t>
        </w:r>
      </w:hyperlink>
      <w:r>
        <w:rPr>
          <w:lang w:val="fr_FR" w:bidi="fr_FR"/>
        </w:rPr>
        <w:t>). Nombre d’entre eux étaient des artisans qui gagnaient leur vie par le travail manuel (</w:t>
      </w:r>
      <w:hyperlink r:id="rId41">
        <w:r>
          <w:rPr>
            <w:lang w:val="fr_FR" w:bidi="fr_FR"/>
          </w:rPr>
          <w:rPr>
            <w:color w:val="0000EE"/>
            <w:u w:val="single"/>
          </w:rPr>
          <w:t>3.6–12</w:t>
        </w:r>
      </w:hyperlink>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