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2"/>
      </w:pPr>
      <w:r>
        <w:rPr>
          <w:lang w:val="pt_PT" w:bidi="pt_PT"/>
        </w:rPr>
        <w:t>Cenário</w:t>
      </w:r>
    </w:p>
    <w:p>
      <w:pPr/>
      <w:r>
        <w:rPr>
          <w:lang w:val="pt_PT" w:bidi="pt_PT"/>
        </w:rPr>
      </w:r>
      <w:r>
        <w:rPr>
          <w:lang w:val="pt_PT" w:bidi="pt_PT"/>
        </w:rP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pPr/>
      <w:r>
        <w:rPr>
          <w:lang w:val="pt_PT" w:bidi="pt_PT"/>
        </w:rPr>
      </w:r>
      <w:r>
        <w:rPr>
          <w:lang w:val="pt_PT" w:bidi="pt_PT"/>
        </w:rP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pPr/>
      <w:r>
        <w:rPr>
          <w:lang w:val="pt_PT" w:bidi="pt_PT"/>
        </w:rPr>
      </w:r>
      <w:r>
        <w:rPr>
          <w:lang w:val="pt_PT" w:bidi="pt_PT"/>
        </w:rP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2"/>
      </w:pPr>
      <w:r>
        <w:rPr>
          <w:lang w:val="pt_PT" w:bidi="pt_PT"/>
        </w:rPr>
        <w:t>Resumo</w:t>
      </w:r>
    </w:p>
    <w:p>
      <w:pPr/>
      <w:r>
        <w:rPr>
          <w:lang w:val="pt_PT" w:bidi="pt_PT"/>
        </w:rPr>
      </w:r>
      <w:r>
        <w:rPr>
          <w:lang w:val="pt_PT" w:bidi="pt_PT"/>
        </w:rPr>
        <w:t xml:space="preserve">A primeira metade de Josué (caps. </w:t>
      </w:r>
      <w:hyperlink r:id="rId13">
        <w:r>
          <w:rPr>
            <w:lang w:val="pt_PT" w:bidi="pt_PT"/>
          </w:rPr>
          <w:rPr>
            <w:color w:val="0000EE"/>
            <w:u w:val="single"/>
          </w:rPr>
          <w:t>1–12</w:t>
        </w:r>
      </w:hyperlink>
      <w:r>
        <w:rPr>
          <w:lang w:val="pt_PT" w:bidi="pt_PT"/>
        </w:rP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hyperlink r:id="rId14">
        <w:r>
          <w:rPr>
            <w:lang w:val="pt_PT" w:bidi="pt_PT"/>
          </w:rPr>
          <w:rPr>
            <w:color w:val="0000EE"/>
            <w:u w:val="single"/>
          </w:rPr>
          <w:t>2</w:t>
        </w:r>
      </w:hyperlink>
      <w:r>
        <w:rPr>
          <w:lang w:val="pt_PT" w:bidi="pt_PT"/>
        </w:rPr>
        <w:t xml:space="preserve">). Os israelitas atravessaram o Rio Jordão, cujo fluxo foi milagrosamente interrompido (cap. </w:t>
      </w:r>
      <w:hyperlink r:id="rId15">
        <w:r>
          <w:rPr>
            <w:lang w:val="pt_PT" w:bidi="pt_PT"/>
          </w:rPr>
          <w:rPr>
            <w:color w:val="0000EE"/>
            <w:u w:val="single"/>
          </w:rPr>
          <w:t>3</w:t>
        </w:r>
      </w:hyperlink>
      <w:r>
        <w:rPr>
          <w:lang w:val="pt_PT" w:bidi="pt_PT"/>
        </w:rPr>
        <w:t xml:space="preserve">). Então, Deus deu a Israel a cidade de Jericó, fazendo com que suas muralhas caíssem (cap. </w:t>
      </w:r>
      <w:hyperlink r:id="rId16">
        <w:r>
          <w:rPr>
            <w:lang w:val="pt_PT" w:bidi="pt_PT"/>
          </w:rPr>
          <w:rPr>
            <w:color w:val="0000EE"/>
            <w:u w:val="single"/>
          </w:rPr>
          <w:t>6</w:t>
        </w:r>
      </w:hyperlink>
      <w:r>
        <w:rPr>
          <w:lang w:val="pt_PT" w:bidi="pt_PT"/>
        </w:rPr>
        <w:t>).</w:t>
      </w:r>
    </w:p>
    <w:p>
      <w:pPr/>
      <w:r>
        <w:rPr>
          <w:lang w:val="pt_PT" w:bidi="pt_PT"/>
        </w:rPr>
      </w:r>
      <w:r>
        <w:rPr>
          <w:lang w:val="pt_PT" w:bidi="pt_PT"/>
        </w:rP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hyperlink r:id="rId17">
        <w:r>
          <w:rPr>
            <w:lang w:val="pt_PT" w:bidi="pt_PT"/>
          </w:rPr>
          <w:rPr>
            <w:color w:val="0000EE"/>
            <w:u w:val="single"/>
          </w:rPr>
          <w:t>7</w:t>
        </w:r>
      </w:hyperlink>
      <w:r>
        <w:rPr>
          <w:lang w:val="pt_PT" w:bidi="pt_PT"/>
        </w:rPr>
        <w:t xml:space="preserve">). Deus então deu a Josué uma vitória retumbante sobre a coalizão apressadamente reunida dos estados-cidades cananeus do sul; Deus até atendeu ao pedido de Josué para que o sol e a lua parassem até que a vitória estivesse completa (cap. </w:t>
      </w:r>
      <w:hyperlink r:id="rId18">
        <w:r>
          <w:rPr>
            <w:lang w:val="pt_PT" w:bidi="pt_PT"/>
          </w:rPr>
          <w:rPr>
            <w:color w:val="0000EE"/>
            <w:u w:val="single"/>
          </w:rPr>
          <w:t>10</w:t>
        </w:r>
      </w:hyperlink>
      <w:r>
        <w:rPr>
          <w:lang w:val="pt_PT" w:bidi="pt_PT"/>
        </w:rPr>
        <w:t xml:space="preserve">). Josué então voltou-se para o norte, onde obteve uma vitória igualmente decisiva sobre uma coalizão do norte de estados-cidades (cap. </w:t>
      </w:r>
      <w:hyperlink r:id="rId19">
        <w:r>
          <w:rPr>
            <w:lang w:val="pt_PT" w:bidi="pt_PT"/>
          </w:rPr>
          <w:rPr>
            <w:color w:val="0000EE"/>
            <w:u w:val="single"/>
          </w:rPr>
          <w:t>11</w:t>
        </w:r>
      </w:hyperlink>
      <w:r>
        <w:rPr>
          <w:lang w:val="pt_PT" w:bidi="pt_PT"/>
        </w:rPr>
        <w:t>). Toda a região montanhosa, desde o Neguebe no sul até a Alta Galileia no norte, agora estava aberta para o assentamento israelita.</w:t>
      </w:r>
    </w:p>
    <w:p>
      <w:pPr/>
      <w:r>
        <w:rPr>
          <w:lang w:val="pt_PT" w:bidi="pt_PT"/>
        </w:rPr>
      </w:r>
      <w:r>
        <w:rPr>
          <w:lang w:val="pt_PT" w:bidi="pt_PT"/>
        </w:rPr>
        <w:t xml:space="preserve">A segunda metade de Josué (caps. </w:t>
      </w:r>
      <w:hyperlink r:id="rId20">
        <w:r>
          <w:rPr>
            <w:lang w:val="pt_PT" w:bidi="pt_PT"/>
          </w:rPr>
          <w:rPr>
            <w:color w:val="0000EE"/>
            <w:u w:val="single"/>
          </w:rPr>
          <w:t>13–24</w:t>
        </w:r>
      </w:hyperlink>
      <w:r>
        <w:rPr>
          <w:lang w:val="pt_PT" w:bidi="pt_PT"/>
        </w:rPr>
        <w:t xml:space="preserve">) contém o relato detalhado da distribuição do território de Israel, incluindo descrições minuciosas dos territórios dados a Judá, Benjamim e José (caps. </w:t>
      </w:r>
      <w:hyperlink r:id="rId21">
        <w:r>
          <w:rPr>
            <w:lang w:val="pt_PT" w:bidi="pt_PT"/>
          </w:rPr>
          <w:rPr>
            <w:color w:val="0000EE"/>
            <w:u w:val="single"/>
          </w:rPr>
          <w:t>15–19</w:t>
        </w:r>
      </w:hyperlink>
      <w:r>
        <w:rPr>
          <w:lang w:val="pt_PT" w:bidi="pt_PT"/>
        </w:rPr>
        <w:t xml:space="preserve">); essas tribos se tornaram as tribos centrais de Israel. As heranças de Calebe e Josué iniciam e encerram esta seção de distribuições territoriais (caps. </w:t>
      </w:r>
      <w:hyperlink r:id="rId22">
        <w:r>
          <w:rPr>
            <w:lang w:val="pt_PT" w:bidi="pt_PT"/>
          </w:rPr>
          <w:rPr>
            <w:color w:val="0000EE"/>
            <w:u w:val="single"/>
          </w:rPr>
          <w:t>15</w:t>
        </w:r>
      </w:hyperlink>
      <w:r>
        <w:rPr>
          <w:lang w:val="pt_PT" w:bidi="pt_PT"/>
        </w:rPr>
        <w:t xml:space="preserve"> e </w:t>
      </w:r>
      <w:hyperlink r:id="rId23">
        <w:r>
          <w:rPr>
            <w:lang w:val="pt_PT" w:bidi="pt_PT"/>
          </w:rPr>
          <w:rPr>
            <w:color w:val="0000EE"/>
            <w:u w:val="single"/>
          </w:rPr>
          <w:t>19</w:t>
        </w:r>
      </w:hyperlink>
      <w:r>
        <w:rPr>
          <w:lang w:val="pt_PT" w:bidi="pt_PT"/>
        </w:rPr>
        <w:t xml:space="preserve">). A designação de seis cidades de refúgio (cap. </w:t>
      </w:r>
      <w:hyperlink r:id="rId24">
        <w:r>
          <w:rPr>
            <w:lang w:val="pt_PT" w:bidi="pt_PT"/>
          </w:rPr>
          <w:rPr>
            <w:color w:val="0000EE"/>
            <w:u w:val="single"/>
          </w:rPr>
          <w:t>20</w:t>
        </w:r>
      </w:hyperlink>
      <w:r>
        <w:rPr>
          <w:lang w:val="pt_PT" w:bidi="pt_PT"/>
        </w:rPr>
        <w:t xml:space="preserve">) e a atribuição de cidades aos levitas dentro de cada território tribal (cap. </w:t>
      </w:r>
      <w:hyperlink r:id="rId25">
        <w:r>
          <w:rPr>
            <w:lang w:val="pt_PT" w:bidi="pt_PT"/>
          </w:rPr>
          <w:rPr>
            <w:color w:val="0000EE"/>
            <w:u w:val="single"/>
          </w:rPr>
          <w:t>21</w:t>
        </w:r>
      </w:hyperlink>
      <w:r>
        <w:rPr>
          <w:lang w:val="pt_PT" w:bidi="pt_PT"/>
        </w:rP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hyperlink r:id="rId26">
        <w:r>
          <w:rPr>
            <w:lang w:val="pt_PT" w:bidi="pt_PT"/>
          </w:rPr>
          <w:rPr>
            <w:color w:val="0000EE"/>
            <w:u w:val="single"/>
          </w:rPr>
          <w:t>22</w:t>
        </w:r>
      </w:hyperlink>
      <w:r>
        <w:rPr>
          <w:lang w:val="pt_PT" w:bidi="pt_PT"/>
        </w:rPr>
        <w:t xml:space="preserve">). O livro conclui com a despedida de Josué (cap. </w:t>
      </w:r>
      <w:hyperlink r:id="rId27">
        <w:r>
          <w:rPr>
            <w:lang w:val="pt_PT" w:bidi="pt_PT"/>
          </w:rPr>
          <w:rPr>
            <w:color w:val="0000EE"/>
            <w:u w:val="single"/>
          </w:rPr>
          <w:t>23</w:t>
        </w:r>
      </w:hyperlink>
      <w:r>
        <w:rPr>
          <w:lang w:val="pt_PT" w:bidi="pt_PT"/>
        </w:rPr>
        <w:t xml:space="preserve">), sua convocação do povo para renovar sua aliança com Deus e três funerais proeminentes (cap. </w:t>
      </w:r>
      <w:hyperlink r:id="rId28">
        <w:r>
          <w:rPr>
            <w:lang w:val="pt_PT" w:bidi="pt_PT"/>
          </w:rPr>
          <w:rPr>
            <w:color w:val="0000EE"/>
            <w:u w:val="single"/>
          </w:rPr>
          <w:t>24</w:t>
        </w:r>
      </w:hyperlink>
      <w:r>
        <w:rPr>
          <w:lang w:val="pt_PT" w:bidi="pt_PT"/>
        </w:rPr>
        <w:t>).</w:t>
      </w:r>
    </w:p>
    <w:p>
      <w:pPr>
        <w:pStyle w:val="Heading2"/>
      </w:pPr>
      <w:r>
        <w:rPr>
          <w:lang w:val="pt_PT" w:bidi="pt_PT"/>
        </w:rPr>
        <w:t>Autor e data</w:t>
      </w:r>
    </w:p>
    <w:p>
      <w:pPr/>
      <w:r>
        <w:rPr>
          <w:lang w:val="pt_PT" w:bidi="pt_PT"/>
        </w:rPr>
      </w:r>
      <w:r>
        <w:rPr>
          <w:lang w:val="pt_PT" w:bidi="pt_PT"/>
        </w:rPr>
        <w:t xml:space="preserve">Em nenhum lugar o livro de Josué afirma que ele foi seu autor. Tanto a ocorrência frequente da frase “até hoje” quanto a referência ao </w:t>
      </w:r>
      <w:r>
        <w:rPr>
          <w:i/>
          <w:lang w:val="pt_PT" w:bidi="pt_PT"/>
        </w:rPr>
        <w:t>Livro de Jasar</w:t>
      </w:r>
      <w:r>
        <w:rPr>
          <w:lang w:val="pt_PT" w:bidi="pt_PT"/>
        </w:rP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2"/>
      </w:pPr>
      <w:r>
        <w:rPr>
          <w:lang w:val="pt_PT" w:bidi="pt_PT"/>
        </w:rPr>
        <w:t>Josué como história</w:t>
      </w:r>
    </w:p>
    <w:p>
      <w:pPr/>
      <w:r>
        <w:rPr>
          <w:lang w:val="pt_PT" w:bidi="pt_PT"/>
        </w:rPr>
      </w:r>
      <w:r>
        <w:rPr>
          <w:lang w:val="pt_PT" w:bidi="pt_PT"/>
        </w:rP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pPr/>
      <w:r>
        <w:rPr>
          <w:lang w:val="pt_PT" w:bidi="pt_PT"/>
        </w:rPr>
      </w:r>
      <w:r>
        <w:rPr>
          <w:lang w:val="pt_PT" w:bidi="pt_PT"/>
        </w:rP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pPr/>
      <w:r>
        <w:rPr>
          <w:lang w:val="pt_PT" w:bidi="pt_PT"/>
        </w:rPr>
      </w:r>
      <w:r>
        <w:rPr>
          <w:lang w:val="pt_PT" w:bidi="pt_PT"/>
        </w:rP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pPr/>
      <w:r>
        <w:rPr>
          <w:lang w:val="pt_PT" w:bidi="pt_PT"/>
        </w:rPr>
      </w:r>
      <w:r>
        <w:rPr>
          <w:lang w:val="pt_PT" w:bidi="pt_PT"/>
        </w:rP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hyperlink r:id="rId29">
        <w:r>
          <w:rPr>
            <w:lang w:val="pt_PT" w:bidi="pt_PT"/>
          </w:rPr>
          <w:rPr>
            <w:color w:val="0000EE"/>
            <w:u w:val="single"/>
          </w:rPr>
          <w:t>2Sm 5.6–8</w:t>
        </w:r>
      </w:hyperlink>
      <w:r>
        <w:rPr>
          <w:lang w:val="pt_PT" w:bidi="pt_PT"/>
        </w:rPr>
        <w:t>).</w:t>
      </w:r>
    </w:p>
    <w:p>
      <w:pPr>
        <w:pStyle w:val="Heading2"/>
      </w:pPr>
      <w:r>
        <w:rPr>
          <w:lang w:val="pt_PT" w:bidi="pt_PT"/>
        </w:rPr>
        <w:t>Significado e mensagem</w:t>
      </w:r>
    </w:p>
    <w:p>
      <w:pPr/>
      <w:r>
        <w:rPr>
          <w:lang w:val="pt_PT" w:bidi="pt_PT"/>
        </w:rPr>
      </w:r>
      <w:r>
        <w:rPr>
          <w:lang w:val="pt_PT" w:bidi="pt_PT"/>
        </w:rP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pPr/>
      <w:r>
        <w:rPr>
          <w:lang w:val="pt_PT" w:bidi="pt_PT"/>
        </w:rPr>
      </w:r>
      <w:r>
        <w:rPr>
          <w:lang w:val="pt_PT" w:bidi="pt_PT"/>
        </w:rP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pPr/>
      <w:r>
        <w:rPr>
          <w:lang w:val="pt_PT" w:bidi="pt_PT"/>
        </w:rPr>
      </w:r>
      <w:r>
        <w:rPr>
          <w:lang w:val="pt_PT" w:bidi="pt_PT"/>
        </w:rP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pPr/>
      <w:r>
        <w:rPr>
          <w:lang w:val="pt_PT" w:bidi="pt_PT"/>
        </w:rPr>
      </w:r>
      <w:r>
        <w:rPr>
          <w:lang w:val="pt_PT" w:bidi="pt_PT"/>
        </w:rP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pPr/>
      <w:r>
        <w:rPr>
          <w:lang w:val="pt_PT" w:bidi="pt_PT"/>
        </w:rPr>
      </w:r>
      <w:r>
        <w:rPr>
          <w:lang w:val="pt_PT" w:bidi="pt_PT"/>
        </w:rPr>
        <w:t>O livro de Josué oferece aos leitores contemporâneos muito para refletir sobre o próprio Deus, as consequências das ações humanas boas e más, e o compromisso apaixonado de Deus com a redenção humana e a restauração do relacionamento divino-humano.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