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w:t>
      </w:r>
      <w:r>
        <w:rPr>
          <w:lang w:val="pt_PT" w:bidi="pt_PT"/>
        </w:rPr>
      </w:r>
    </w:p>
    <w:p>
      <w:pPr/>
      <w:r>
        <w:rPr>
          <w:lang w:val="pt_PT" w:bidi="pt_PT"/>
        </w:rPr>
      </w:r>
      <w:r>
        <w:rPr>
          <w:lang w:val="pt_PT" w:bidi="pt_PT"/>
        </w:rP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2"/>
      </w:pPr>
      <w:r>
        <w:rPr>
          <w:lang w:val="pt_PT" w:bidi="pt_PT"/>
        </w:rPr>
        <w:t>Cenário</w:t>
      </w:r>
    </w:p>
    <w:p>
      <w:pPr/>
      <w:r>
        <w:rPr>
          <w:lang w:val="pt_PT" w:bidi="pt_PT"/>
        </w:rPr>
      </w:r>
      <w:r>
        <w:rPr>
          <w:lang w:val="pt_PT" w:bidi="pt_PT"/>
        </w:rPr>
        <w:t xml:space="preserve">Os babilônios conquistaram o reino de Judá entre 605 e 586 a.C. Dentro de uma geração, o poder babilônico se erodiu devido à sua própria decadência interna (veja </w:t>
      </w:r>
      <w:hyperlink r:id="rId13">
        <w:r>
          <w:rPr>
            <w:lang w:val="pt_PT" w:bidi="pt_PT"/>
          </w:rPr>
          <w:rPr>
            <w:color w:val="0000EE"/>
            <w:u w:val="single"/>
          </w:rPr>
          <w:t>Dn 5</w:t>
        </w:r>
      </w:hyperlink>
      <w:r>
        <w:rPr>
          <w:lang w:val="pt_PT" w:bidi="pt_PT"/>
        </w:rPr>
        <w:t xml:space="preserve">). Enquanto isso, a leste, o rei persa Ciro, o Grande (559–530 a.C.) estabeleceu um novo império que uniu os medos e os persas. Em outubro de 539 a.C., Babilônia caiu sem resistência, e o império de Ciro se estendeu para o oeste para incluir a Babilônia (veja </w:t>
      </w:r>
      <w:hyperlink r:id="rId14">
        <w:r>
          <w:rPr>
            <w:lang w:val="pt_PT" w:bidi="pt_PT"/>
          </w:rPr>
          <w:rPr>
            <w:color w:val="0000EE"/>
            <w:u w:val="single"/>
          </w:rPr>
          <w:t>Dn 5.30–31</w:t>
        </w:r>
      </w:hyperlink>
      <w:r>
        <w:rPr>
          <w:lang w:val="pt_PT" w:bidi="pt_PT"/>
        </w:rPr>
        <w:t>).</w:t>
      </w:r>
    </w:p>
    <w:p>
      <w:pPr/>
      <w:r>
        <w:rPr>
          <w:lang w:val="pt_PT" w:bidi="pt_PT"/>
        </w:rPr>
      </w:r>
      <w:r>
        <w:rPr>
          <w:lang w:val="pt_PT" w:bidi="pt_PT"/>
        </w:rP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pPr/>
      <w:r>
        <w:rPr>
          <w:lang w:val="pt_PT" w:bidi="pt_PT"/>
        </w:rPr>
      </w:r>
      <w:r>
        <w:rPr>
          <w:lang w:val="pt_PT" w:bidi="pt_PT"/>
        </w:rP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2"/>
      </w:pPr>
      <w:r>
        <w:rPr>
          <w:lang w:val="pt_PT" w:bidi="pt_PT"/>
        </w:rPr>
        <w:t>Resumo</w:t>
      </w:r>
    </w:p>
    <w:p>
      <w:pPr/>
      <w:r>
        <w:rPr>
          <w:lang w:val="pt_PT" w:bidi="pt_PT"/>
        </w:rPr>
      </w:r>
      <w:r>
        <w:rPr>
          <w:lang w:val="pt_PT" w:bidi="pt_PT"/>
        </w:rPr>
        <w:t>O texto de 1 Crônicas se divide em duas seções distintas: a representação da identidade de Israel através de genealogias (</w:t>
      </w:r>
      <w:hyperlink r:id="rId15">
        <w:r>
          <w:rPr>
            <w:lang w:val="pt_PT" w:bidi="pt_PT"/>
          </w:rPr>
          <w:rPr>
            <w:color w:val="0000EE"/>
            <w:u w:val="single"/>
          </w:rPr>
          <w:t>1Cr 1.1–9.44</w:t>
        </w:r>
      </w:hyperlink>
      <w:r>
        <w:rPr>
          <w:lang w:val="pt_PT" w:bidi="pt_PT"/>
        </w:rPr>
        <w:t>), e a preparação de Davi de Jerusalém para o Templo e o governo de Salomão (</w:t>
      </w:r>
      <w:hyperlink r:id="rId16">
        <w:r>
          <w:rPr>
            <w:lang w:val="pt_PT" w:bidi="pt_PT"/>
          </w:rPr>
          <w:rPr>
            <w:color w:val="0000EE"/>
            <w:u w:val="single"/>
          </w:rPr>
          <w:t>10.1–29.30</w:t>
        </w:r>
      </w:hyperlink>
      <w:r>
        <w:rPr>
          <w:lang w:val="pt_PT" w:bidi="pt_PT"/>
        </w:rPr>
        <w:t>).</w:t>
      </w:r>
    </w:p>
    <w:p>
      <w:pPr/>
      <w:r>
        <w:rPr>
          <w:lang w:val="pt_PT" w:bidi="pt_PT"/>
        </w:rPr>
      </w:r>
      <w:r>
        <w:rPr>
          <w:lang w:val="pt_PT" w:bidi="pt_PT"/>
        </w:rPr>
        <w:t>O primeiro capítulo das genealogias (</w:t>
      </w:r>
      <w:hyperlink r:id="rId17">
        <w:r>
          <w:rPr>
            <w:lang w:val="pt_PT" w:bidi="pt_PT"/>
          </w:rPr>
          <w:rPr>
            <w:color w:val="0000EE"/>
            <w:u w:val="single"/>
          </w:rPr>
          <w:t>cap. 1</w:t>
        </w:r>
      </w:hyperlink>
      <w:r>
        <w:rPr>
          <w:lang w:val="pt_PT" w:bidi="pt_PT"/>
        </w:rPr>
        <w:t xml:space="preserve">) segue a linha da seleção de Deus de pessoas específicas, de Adão a Jacó (= Israel). </w:t>
      </w:r>
      <w:hyperlink r:id="rId18">
        <w:r>
          <w:rPr>
            <w:lang w:val="pt_PT" w:bidi="pt_PT"/>
          </w:rPr>
          <w:rPr>
            <w:color w:val="0000EE"/>
            <w:u w:val="single"/>
          </w:rPr>
          <w:t>Capítulos 2–8</w:t>
        </w:r>
      </w:hyperlink>
      <w:r>
        <w:rPr>
          <w:lang w:val="pt_PT" w:bidi="pt_PT"/>
        </w:rPr>
        <w:t xml:space="preserve"> tratam dos israelitas de Jacó até o exílio para Babilônia. Esta seção detalha primeiro a tribo de Judá (</w:t>
      </w:r>
      <w:hyperlink r:id="rId19">
        <w:r>
          <w:rPr>
            <w:lang w:val="pt_PT" w:bidi="pt_PT"/>
          </w:rPr>
          <w:rPr>
            <w:color w:val="0000EE"/>
            <w:u w:val="single"/>
          </w:rPr>
          <w:t>caps. 2–4</w:t>
        </w:r>
      </w:hyperlink>
      <w:r>
        <w:rPr>
          <w:lang w:val="pt_PT" w:bidi="pt_PT"/>
        </w:rPr>
        <w:t>), discutindo a casa de Davi na seção central (</w:t>
      </w:r>
      <w:hyperlink r:id="rId20">
        <w:r>
          <w:rPr>
            <w:lang w:val="pt_PT" w:bidi="pt_PT"/>
          </w:rPr>
          <w:rPr>
            <w:color w:val="0000EE"/>
            <w:u w:val="single"/>
          </w:rPr>
          <w:t>cap. 3</w:t>
        </w:r>
      </w:hyperlink>
      <w:r>
        <w:rPr>
          <w:lang w:val="pt_PT" w:bidi="pt_PT"/>
        </w:rPr>
        <w:t>), e depois descreve as outras tribos de Israel (</w:t>
      </w:r>
      <w:hyperlink r:id="rId21">
        <w:r>
          <w:rPr>
            <w:lang w:val="pt_PT" w:bidi="pt_PT"/>
          </w:rPr>
          <w:rPr>
            <w:color w:val="0000EE"/>
            <w:u w:val="single"/>
          </w:rPr>
          <w:t>caps. 5–7</w:t>
        </w:r>
      </w:hyperlink>
      <w:r>
        <w:rPr>
          <w:lang w:val="pt_PT" w:bidi="pt_PT"/>
        </w:rPr>
        <w:t>), incluindo aquelas a leste do Rio Jordão (em Transjordânia). No ponto médio dessas listas genealógicas adicionais vem Levi (</w:t>
      </w:r>
      <w:hyperlink r:id="rId22">
        <w:r>
          <w:rPr>
            <w:lang w:val="pt_PT" w:bidi="pt_PT"/>
          </w:rPr>
          <w:rPr>
            <w:color w:val="0000EE"/>
            <w:u w:val="single"/>
          </w:rPr>
          <w:t>cap. 6</w:t>
        </w:r>
      </w:hyperlink>
      <w:r>
        <w:rPr>
          <w:lang w:val="pt_PT" w:bidi="pt_PT"/>
        </w:rPr>
        <w:t>), uma tribo de significado central. O registro então continua com a tribo de Benjamim (</w:t>
      </w:r>
      <w:hyperlink r:id="rId23">
        <w:r>
          <w:rPr>
            <w:lang w:val="pt_PT" w:bidi="pt_PT"/>
          </w:rPr>
          <w:rPr>
            <w:color w:val="0000EE"/>
            <w:u w:val="single"/>
          </w:rPr>
          <w:t>cap. 8</w:t>
        </w:r>
      </w:hyperlink>
      <w:r>
        <w:rPr>
          <w:lang w:val="pt_PT" w:bidi="pt_PT"/>
        </w:rPr>
        <w:t>). As genealogias são completadas até cerca de 400 a.C., com uma lista dos principais representantes da comunidade que retornaram do exílio e começaram a restaurar Jerusalém (</w:t>
      </w:r>
      <w:hyperlink r:id="rId24">
        <w:r>
          <w:rPr>
            <w:lang w:val="pt_PT" w:bidi="pt_PT"/>
          </w:rPr>
          <w:rPr>
            <w:color w:val="0000EE"/>
            <w:u w:val="single"/>
          </w:rPr>
          <w:t>cap. 9</w:t>
        </w:r>
      </w:hyperlink>
      <w:r>
        <w:rPr>
          <w:lang w:val="pt_PT" w:bidi="pt_PT"/>
        </w:rPr>
        <w:t>).</w:t>
      </w:r>
    </w:p>
    <w:p>
      <w:pPr/>
      <w:r>
        <w:rPr>
          <w:lang w:val="pt_PT" w:bidi="pt_PT"/>
        </w:rPr>
      </w:r>
      <w:r>
        <w:rPr>
          <w:lang w:val="pt_PT" w:bidi="pt_PT"/>
        </w:rPr>
        <w:t>A genealogia de Saul (</w:t>
      </w:r>
      <w:hyperlink r:id="rId25">
        <w:r>
          <w:rPr>
            <w:lang w:val="pt_PT" w:bidi="pt_PT"/>
          </w:rPr>
          <w:rPr>
            <w:color w:val="0000EE"/>
            <w:u w:val="single"/>
          </w:rPr>
          <w:t>9.35–44</w:t>
        </w:r>
      </w:hyperlink>
      <w:r>
        <w:rPr>
          <w:lang w:val="pt_PT" w:bidi="pt_PT"/>
        </w:rPr>
        <w:t>) introduz a fundação da monarquia. Quando Saul morreu devido à sua infidelidade (</w:t>
      </w:r>
      <w:hyperlink r:id="rId26">
        <w:r>
          <w:rPr>
            <w:lang w:val="pt_PT" w:bidi="pt_PT"/>
          </w:rPr>
          <w:rPr>
            <w:color w:val="0000EE"/>
            <w:u w:val="single"/>
          </w:rPr>
          <w:t>10.1–14</w:t>
        </w:r>
      </w:hyperlink>
      <w:r>
        <w:rPr>
          <w:lang w:val="pt_PT" w:bidi="pt_PT"/>
        </w:rPr>
        <w:t>), Davi tornou-se rei (</w:t>
      </w:r>
      <w:hyperlink r:id="rId27">
        <w:r>
          <w:rPr>
            <w:lang w:val="pt_PT" w:bidi="pt_PT"/>
          </w:rPr>
          <w:rPr>
            <w:color w:val="0000EE"/>
            <w:u w:val="single"/>
          </w:rPr>
          <w:t>11.1–12.40</w:t>
        </w:r>
      </w:hyperlink>
      <w:r>
        <w:rPr>
          <w:lang w:val="pt_PT" w:bidi="pt_PT"/>
        </w:rPr>
        <w:t>). Os capítulos sobre o reinado de Davi explicam sua organização de oficiais e suas preparações para o Templo (</w:t>
      </w:r>
      <w:hyperlink r:id="rId28">
        <w:r>
          <w:rPr>
            <w:lang w:val="pt_PT" w:bidi="pt_PT"/>
          </w:rPr>
          <w:rPr>
            <w:color w:val="0000EE"/>
            <w:u w:val="single"/>
          </w:rPr>
          <w:t>caps. 13–27</w:t>
        </w:r>
      </w:hyperlink>
      <w:r>
        <w:rPr>
          <w:lang w:val="pt_PT" w:bidi="pt_PT"/>
        </w:rPr>
        <w:t>). A transferência da Arca da Aliança para Jerusalém (</w:t>
      </w:r>
      <w:hyperlink r:id="rId29">
        <w:r>
          <w:rPr>
            <w:lang w:val="pt_PT" w:bidi="pt_PT"/>
          </w:rPr>
          <w:rPr>
            <w:color w:val="0000EE"/>
            <w:u w:val="single"/>
          </w:rPr>
          <w:t>caps. 13–16</w:t>
        </w:r>
      </w:hyperlink>
      <w:r>
        <w:rPr>
          <w:lang w:val="pt_PT" w:bidi="pt_PT"/>
        </w:rPr>
        <w:t>) foi um evento importante no estabelecimento do reino de Davi. O restante de 1 Crônicas traça os passos tomados em direção à construção do Templo. Esses capítulos incluem a identidade do construtor (</w:t>
      </w:r>
      <w:hyperlink r:id="rId30">
        <w:r>
          <w:rPr>
            <w:lang w:val="pt_PT" w:bidi="pt_PT"/>
          </w:rPr>
          <w:rPr>
            <w:color w:val="0000EE"/>
            <w:u w:val="single"/>
          </w:rPr>
          <w:t>cap. 17</w:t>
        </w:r>
      </w:hyperlink>
      <w:r>
        <w:rPr>
          <w:lang w:val="pt_PT" w:bidi="pt_PT"/>
        </w:rPr>
        <w:t>), as condições políticas necessárias (</w:t>
      </w:r>
      <w:hyperlink r:id="rId31">
        <w:r>
          <w:rPr>
            <w:lang w:val="pt_PT" w:bidi="pt_PT"/>
          </w:rPr>
          <w:rPr>
            <w:color w:val="0000EE"/>
            <w:u w:val="single"/>
          </w:rPr>
          <w:t>caps. 18–20</w:t>
        </w:r>
      </w:hyperlink>
      <w:r>
        <w:rPr>
          <w:lang w:val="pt_PT" w:bidi="pt_PT"/>
        </w:rPr>
        <w:t>), o local (</w:t>
      </w:r>
      <w:hyperlink r:id="rId32">
        <w:r>
          <w:rPr>
            <w:lang w:val="pt_PT" w:bidi="pt_PT"/>
          </w:rPr>
          <w:rPr>
            <w:color w:val="0000EE"/>
            <w:u w:val="single"/>
          </w:rPr>
          <w:t>cap. 21</w:t>
        </w:r>
      </w:hyperlink>
      <w:r>
        <w:rPr>
          <w:lang w:val="pt_PT" w:bidi="pt_PT"/>
        </w:rPr>
        <w:t>), o pessoal (</w:t>
      </w:r>
      <w:hyperlink r:id="rId33">
        <w:r>
          <w:rPr>
            <w:lang w:val="pt_PT" w:bidi="pt_PT"/>
          </w:rPr>
          <w:rPr>
            <w:color w:val="0000EE"/>
            <w:u w:val="single"/>
          </w:rPr>
          <w:t>caps. 23–27</w:t>
        </w:r>
      </w:hyperlink>
      <w:r>
        <w:rPr>
          <w:lang w:val="pt_PT" w:bidi="pt_PT"/>
        </w:rPr>
        <w:t>), os materiais e os planos (</w:t>
      </w:r>
      <w:hyperlink r:id="rId34">
        <w:r>
          <w:rPr>
            <w:lang w:val="pt_PT" w:bidi="pt_PT"/>
          </w:rPr>
          <w:rPr>
            <w:color w:val="0000EE"/>
            <w:u w:val="single"/>
          </w:rPr>
          <w:t>caps. 22</w:t>
        </w:r>
      </w:hyperlink>
      <w:r>
        <w:rPr>
          <w:lang w:val="pt_PT" w:bidi="pt_PT"/>
        </w:rPr>
        <w:t xml:space="preserve">, </w:t>
      </w:r>
      <w:hyperlink r:id="rId35">
        <w:r>
          <w:rPr>
            <w:lang w:val="pt_PT" w:bidi="pt_PT"/>
          </w:rPr>
          <w:rPr>
            <w:color w:val="0000EE"/>
            <w:u w:val="single"/>
          </w:rPr>
          <w:t>28–29</w:t>
        </w:r>
      </w:hyperlink>
      <w:r>
        <w:rPr>
          <w:lang w:val="pt_PT" w:bidi="pt_PT"/>
        </w:rPr>
        <w:t>). O relato do reinado de Davi termina com uma grande assembleia pública e a nomeação de Salomão como o rei da paz que construiria o Templo (</w:t>
      </w:r>
      <w:hyperlink r:id="rId35">
        <w:r>
          <w:rPr>
            <w:lang w:val="pt_PT" w:bidi="pt_PT"/>
          </w:rPr>
          <w:rPr>
            <w:color w:val="0000EE"/>
            <w:u w:val="single"/>
          </w:rPr>
          <w:t>caps. 28–29</w:t>
        </w:r>
      </w:hyperlink>
      <w:r>
        <w:rPr>
          <w:lang w:val="pt_PT" w:bidi="pt_PT"/>
        </w:rPr>
        <w:t>).</w:t>
      </w:r>
    </w:p>
    <w:p>
      <w:pPr>
        <w:pStyle w:val="Heading2"/>
      </w:pPr>
      <w:r>
        <w:rPr>
          <w:lang w:val="pt_PT" w:bidi="pt_PT"/>
        </w:rPr>
        <w:t>Autor e data</w:t>
      </w:r>
    </w:p>
    <w:p>
      <w:pPr/>
      <w:r>
        <w:rPr>
          <w:lang w:val="pt_PT" w:bidi="pt_PT"/>
        </w:rPr>
      </w:r>
      <w:r>
        <w:rPr>
          <w:lang w:val="pt_PT" w:bidi="pt_PT"/>
        </w:rP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pPr/>
      <w:r>
        <w:rPr>
          <w:lang w:val="pt_PT" w:bidi="pt_PT"/>
        </w:rPr>
      </w:r>
      <w:r>
        <w:rPr>
          <w:lang w:val="pt_PT" w:bidi="pt_PT"/>
        </w:rPr>
        <w:t>O cronista escreveu nos últimos anos do Império Persa, provavelmente por volta de 400 a.C. A genealogia dos descendentes de Jeoaquim (</w:t>
      </w:r>
      <w:hyperlink r:id="rId36">
        <w:r>
          <w:rPr>
            <w:lang w:val="pt_PT" w:bidi="pt_PT"/>
          </w:rPr>
          <w:rPr>
            <w:color w:val="0000EE"/>
            <w:u w:val="single"/>
          </w:rPr>
          <w:t>3.17–24</w:t>
        </w:r>
      </w:hyperlink>
      <w:r>
        <w:rPr>
          <w:lang w:val="pt_PT" w:bidi="pt_PT"/>
        </w:rPr>
        <w:t>) sugere uma data que é oito gerações após Zorobabel, que serviu como governador por volta de 520 a.C., durante os dias de Dario, rei da Pérsia (</w:t>
      </w:r>
      <w:hyperlink r:id="rId37">
        <w:r>
          <w:rPr>
            <w:lang w:val="pt_PT" w:bidi="pt_PT"/>
          </w:rPr>
          <w:rPr>
            <w:color w:val="0000EE"/>
            <w:u w:val="single"/>
          </w:rPr>
          <w:t>Zc 1.1</w:t>
        </w:r>
      </w:hyperlink>
      <w:r>
        <w:rPr>
          <w:lang w:val="pt_PT" w:bidi="pt_PT"/>
        </w:rPr>
        <w:t xml:space="preserve">; </w:t>
      </w:r>
      <w:hyperlink r:id="rId38">
        <w:r>
          <w:rPr>
            <w:lang w:val="pt_PT" w:bidi="pt_PT"/>
          </w:rPr>
          <w:rPr>
            <w:color w:val="0000EE"/>
            <w:u w:val="single"/>
          </w:rPr>
          <w:t>4.9</w:t>
        </w:r>
      </w:hyperlink>
      <w:r>
        <w:rPr>
          <w:lang w:val="pt_PT" w:bidi="pt_PT"/>
        </w:rPr>
        <w:t>). O cronista provavelmente escreveu algum tempo depois que Neemias viajou para Jerusalém no vigésimo ano de Artaxerxes (445 a.C.) para reparar os muros da cidade (</w:t>
      </w:r>
      <w:hyperlink r:id="rId39">
        <w:r>
          <w:rPr>
            <w:lang w:val="pt_PT" w:bidi="pt_PT"/>
          </w:rPr>
          <w:rPr>
            <w:color w:val="0000EE"/>
            <w:u w:val="single"/>
          </w:rPr>
          <w:t>Ne 2.1</w:t>
        </w:r>
      </w:hyperlink>
      <w:r>
        <w:rPr>
          <w:lang w:val="pt_PT" w:bidi="pt_PT"/>
        </w:rP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2"/>
      </w:pPr>
      <w:r>
        <w:rPr>
          <w:lang w:val="pt_PT" w:bidi="pt_PT"/>
        </w:rPr>
        <w:t>Situação histórica</w:t>
      </w:r>
    </w:p>
    <w:p>
      <w:pPr/>
      <w:r>
        <w:rPr>
          <w:lang w:val="pt_PT" w:bidi="pt_PT"/>
        </w:rPr>
      </w:r>
      <w:r>
        <w:rPr>
          <w:lang w:val="pt_PT" w:bidi="pt_PT"/>
        </w:rPr>
        <w:t xml:space="preserve">Pouco se sabe sobre a situação na Judeia após Neemias, embora ele revele algumas das dificuldades da comunidade. A tentação de casar fora de Israel era grande, e os casamentos mistos continuaram nos dias de Malaquias (400 a.C.; veja </w:t>
      </w:r>
      <w:hyperlink r:id="rId40">
        <w:r>
          <w:rPr>
            <w:lang w:val="pt_PT" w:bidi="pt_PT"/>
          </w:rPr>
          <w:rPr>
            <w:color w:val="0000EE"/>
            <w:u w:val="single"/>
          </w:rPr>
          <w:t>Ml 2.14–16</w:t>
        </w:r>
      </w:hyperlink>
      <w:r>
        <w:rPr>
          <w:lang w:val="pt_PT" w:bidi="pt_PT"/>
        </w:rP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2"/>
      </w:pPr>
      <w:r>
        <w:rPr>
          <w:lang w:val="pt_PT" w:bidi="pt_PT"/>
        </w:rPr>
        <w:t>Gênero e composição</w:t>
      </w:r>
    </w:p>
    <w:p>
      <w:pPr/>
      <w:r>
        <w:rPr>
          <w:lang w:val="pt_PT" w:bidi="pt_PT"/>
        </w:rPr>
      </w:r>
      <w:r>
        <w:rPr>
          <w:lang w:val="pt_PT" w:bidi="pt_PT"/>
        </w:rP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pPr/>
      <w:r>
        <w:rPr>
          <w:lang w:val="pt_PT" w:bidi="pt_PT"/>
        </w:rPr>
      </w:r>
      <w:r>
        <w:rPr>
          <w:lang w:val="pt_PT" w:bidi="pt_PT"/>
        </w:rPr>
        <w:t xml:space="preserve">Ao escrever esta história, o Cronista organizou o passado de Israel de uma forma que proporcionasse significado e valor para seus leitores pretendidos. Ele incluiu genealogias porque elas respondiam a duas perguntas críticas da história: </w:t>
      </w:r>
      <w:r>
        <w:rPr>
          <w:i/>
          <w:lang w:val="pt_PT" w:bidi="pt_PT"/>
        </w:rPr>
        <w:t>De quem a história precisava ser contada?</w:t>
      </w:r>
      <w:r>
        <w:rPr>
          <w:lang w:val="pt_PT" w:bidi="pt_PT"/>
        </w:rPr>
        <w:t xml:space="preserve"> e </w:t>
      </w:r>
      <w:r>
        <w:rPr>
          <w:i/>
          <w:lang w:val="pt_PT" w:bidi="pt_PT"/>
        </w:rPr>
        <w:t>Onde essas pessoas viviam?</w:t>
      </w:r>
      <w:r>
        <w:rPr>
          <w:lang w:val="pt_PT" w:bidi="pt_PT"/>
        </w:rPr>
        <w:t xml:space="preserve"> O trabalho do Cronista explica por que um povo sem influência ou reconhecimento considerava sua existência e modo de vida de profunda importância para o futuro.</w:t>
      </w:r>
    </w:p>
    <w:p>
      <w:pPr/>
      <w:r>
        <w:rPr>
          <w:lang w:val="pt_PT" w:bidi="pt_PT"/>
        </w:rPr>
      </w:r>
      <w:r>
        <w:rPr>
          <w:lang w:val="pt_PT" w:bidi="pt_PT"/>
        </w:rP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2"/>
      </w:pPr>
      <w:r>
        <w:rPr>
          <w:lang w:val="pt_PT" w:bidi="pt_PT"/>
        </w:rPr>
        <w:t>Significado e mensagem</w:t>
      </w:r>
    </w:p>
    <w:p>
      <w:pPr/>
      <w:r>
        <w:rPr>
          <w:lang w:val="pt_PT" w:bidi="pt_PT"/>
        </w:rPr>
      </w:r>
      <w:r>
        <w:rPr>
          <w:lang w:val="pt_PT" w:bidi="pt_PT"/>
        </w:rPr>
        <w:t>A promessa de Deus a Davi (</w:t>
      </w:r>
      <w:hyperlink r:id="rId30">
        <w:r>
          <w:rPr>
            <w:lang w:val="pt_PT" w:bidi="pt_PT"/>
          </w:rPr>
          <w:rPr>
            <w:color w:val="0000EE"/>
            <w:u w:val="single"/>
          </w:rPr>
          <w:t>17.1–27</w:t>
        </w:r>
      </w:hyperlink>
      <w:r>
        <w:rPr>
          <w:lang w:val="pt_PT" w:bidi="pt_PT"/>
        </w:rP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hyperlink r:id="rId41">
        <w:r>
          <w:rPr>
            <w:lang w:val="pt_PT" w:bidi="pt_PT"/>
          </w:rPr>
          <w:rPr>
            <w:color w:val="0000EE"/>
            <w:u w:val="single"/>
          </w:rPr>
          <w:t>2Sm 7.11–14</w:t>
        </w:r>
      </w:hyperlink>
      <w:hyperlink r:id="rId41">
        <w:r>
          <w:rPr>
            <w:lang w:val="pt_PT" w:bidi="pt_PT"/>
          </w:rPr>
          <w:rPr>
            <w:color w:val="0000EE"/>
            <w:u w:val="single"/>
          </w:rPr>
          <w:t xml:space="preserve"> // </w:t>
        </w:r>
      </w:hyperlink>
      <w:hyperlink r:id="rId42">
        <w:r>
          <w:rPr>
            <w:lang w:val="pt_PT" w:bidi="pt_PT"/>
          </w:rPr>
          <w:rPr>
            <w:color w:val="0000EE"/>
            <w:u w:val="single"/>
          </w:rPr>
          <w:t>1Cr 17.10–14</w:t>
        </w:r>
      </w:hyperlink>
      <w:r>
        <w:rPr>
          <w:lang w:val="pt_PT" w:bidi="pt_PT"/>
        </w:rP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pPr/>
      <w:r>
        <w:rPr>
          <w:lang w:val="pt_PT" w:bidi="pt_PT"/>
        </w:rPr>
      </w:r>
      <w:r>
        <w:rPr>
          <w:lang w:val="pt_PT" w:bidi="pt_PT"/>
        </w:rP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hyperlink r:id="rId43">
        <w:r>
          <w:rPr>
            <w:lang w:val="pt_PT" w:bidi="pt_PT"/>
          </w:rPr>
          <w:rPr>
            <w:color w:val="0000EE"/>
            <w:u w:val="single"/>
          </w:rPr>
          <w:t>10.13</w:t>
        </w:r>
      </w:hyperlink>
      <w:r>
        <w:rPr>
          <w:lang w:val="pt_PT" w:bidi="pt_PT"/>
        </w:rPr>
        <w:t xml:space="preserve">). Reis posteriores repetiram a essência do fracasso de Saul: eles se rebelaram contra a aliança de Deus e buscaram segurança em poderes estrangeiros e deuses pagãos em vez de em sua Rocha, o Senhor (veja </w:t>
      </w:r>
      <w:hyperlink r:id="rId44">
        <w:r>
          <w:rPr>
            <w:lang w:val="pt_PT" w:bidi="pt_PT"/>
          </w:rPr>
          <w:rPr>
            <w:color w:val="0000EE"/>
            <w:u w:val="single"/>
          </w:rPr>
          <w:t>Dt 32.4</w:t>
        </w:r>
      </w:hyperlink>
      <w:r>
        <w:rPr>
          <w:lang w:val="pt_PT" w:bidi="pt_PT"/>
        </w:rPr>
        <w:t xml:space="preserve">, </w:t>
      </w:r>
      <w:hyperlink r:id="rId45">
        <w:r>
          <w:rPr>
            <w:lang w:val="pt_PT" w:bidi="pt_PT"/>
          </w:rPr>
          <w:rPr>
            <w:color w:val="0000EE"/>
            <w:u w:val="single"/>
          </w:rPr>
          <w:t>15–39</w:t>
        </w:r>
      </w:hyperlink>
      <w:r>
        <w:rPr>
          <w:lang w:val="pt_PT" w:bidi="pt_PT"/>
        </w:rPr>
        <w:t xml:space="preserve">). Assim, </w:t>
      </w:r>
      <w:r>
        <w:rPr>
          <w:i/>
          <w:lang w:val="pt_PT" w:bidi="pt_PT"/>
        </w:rPr>
        <w:t>infidelidade</w:t>
      </w:r>
      <w:r>
        <w:rPr>
          <w:lang w:val="pt_PT" w:bidi="pt_PT"/>
        </w:rPr>
        <w:t xml:space="preserve"> é uma palavra-chave em Crônicas; o cronista a usa repetidamente para documentar as razões para o julgamento contra os reis de Judá.</w:t>
      </w:r>
    </w:p>
    <w:p>
      <w:pPr/>
      <w:r>
        <w:rPr>
          <w:lang w:val="pt_PT" w:bidi="pt_PT"/>
        </w:rPr>
      </w:r>
      <w:r>
        <w:rPr>
          <w:lang w:val="pt_PT" w:bidi="pt_PT"/>
        </w:rP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hyperlink r:id="rId46">
        <w:r>
          <w:rPr>
            <w:lang w:val="pt_PT" w:bidi="pt_PT"/>
          </w:rPr>
          <w:rPr>
            <w:color w:val="0000EE"/>
            <w:u w:val="single"/>
          </w:rPr>
          <w:t>2Cr 7.14</w:t>
        </w:r>
      </w:hyperlink>
      <w:r>
        <w:rPr>
          <w:lang w:val="pt_PT" w:bidi="pt_PT"/>
        </w:rPr>
        <w:t>). Esta promessa lembra ao povo as condições necessárias para a restauração: humildade, oração, arrependimento e cura.</w:t>
      </w:r>
    </w:p>
    <w:p>
      <w:pPr/>
      <w:r>
        <w:rPr>
          <w:lang w:val="pt_PT" w:bidi="pt_PT"/>
        </w:rPr>
      </w:r>
      <w:r>
        <w:rPr>
          <w:lang w:val="pt_PT" w:bidi="pt_PT"/>
        </w:rP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hyperlink r:id="rId47">
        <w:r>
          <w:rPr>
            <w:lang w:val="pt_PT" w:bidi="pt_PT"/>
          </w:rPr>
          <w:rPr>
            <w:color w:val="0000EE"/>
            <w:u w:val="single"/>
          </w:rPr>
          <w:t>1Cr 9.3</w:t>
        </w:r>
      </w:hyperlink>
      <w:r>
        <w:rPr>
          <w:lang w:val="pt_PT" w:bidi="pt_PT"/>
        </w:rP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