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3">
        <w:r>
          <w:rPr>
            <w:lang w:val="pt_PT" w:bidi="pt_PT"/>
          </w:rPr>
          <w:rPr>
            <w:color w:val="0000EE"/>
            <w:u w:val="single"/>
          </w:rPr>
          <w:t>Dn 1.1–5</w:t>
        </w:r>
      </w:hyperlink>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hyperlink r:id="rId14">
        <w:r>
          <w:rPr>
            <w:lang w:val="pt_PT" w:bidi="pt_PT"/>
          </w:rPr>
          <w:rPr>
            <w:color w:val="0000EE"/>
            <w:u w:val="single"/>
          </w:rPr>
          <w:t>Ez 1.1–2</w:t>
        </w:r>
      </w:hyperlink>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hyperlink r:id="rId15">
        <w:r>
          <w:rPr>
            <w:lang w:val="pt_PT" w:bidi="pt_PT"/>
          </w:rPr>
          <w:rPr>
            <w:color w:val="0000EE"/>
            <w:u w:val="single"/>
          </w:rPr>
          <w:t>Os capítulos 1–3</w:t>
        </w:r>
      </w:hyperlink>
      <w:r>
        <w:rPr>
          <w:lang w:val="pt_PT" w:bidi="pt_PT"/>
        </w:rPr>
        <w:t xml:space="preserve"> contam sobre o chamado e o comissionamento de Ezequiel como profeta. Sua visão de abertura fala da glória do Senhor, ameaçadoramente em movimento (</w:t>
      </w:r>
      <w:hyperlink r:id="rId16">
        <w:r>
          <w:rPr>
            <w:lang w:val="pt_PT" w:bidi="pt_PT"/>
          </w:rPr>
          <w:rPr>
            <w:color w:val="0000EE"/>
            <w:u w:val="single"/>
          </w:rPr>
          <w:t>1.4–28</w:t>
        </w:r>
      </w:hyperlink>
      <w:r>
        <w:rPr>
          <w:lang w:val="pt_PT" w:bidi="pt_PT"/>
        </w:rPr>
        <w:t>). Com imagens de movimento e julgamento, a visão retrata o Senhor como o guerreiro divino em sua carruagem celestial, vindo para julgar seu povo. Durante o chamado de Ezequiel (</w:t>
      </w:r>
      <w:hyperlink r:id="rId17">
        <w:r>
          <w:rPr>
            <w:lang w:val="pt_PT" w:bidi="pt_PT"/>
          </w:rPr>
          <w:rPr>
            <w:color w:val="0000EE"/>
            <w:u w:val="single"/>
          </w:rPr>
          <w:t>2.1–3.15</w:t>
        </w:r>
      </w:hyperlink>
      <w:r>
        <w:rPr>
          <w:lang w:val="pt_PT" w:bidi="pt_PT"/>
        </w:rPr>
        <w:t>), o Espírito lhe disse que o povo teimoso e rebelde de Judá não ouviria sua mensagem. No entanto, o Senhor queria que Ezequiel fosse igualmente teimoso em proferir fielmente sua mensagem. Como um vigia (</w:t>
      </w:r>
      <w:hyperlink r:id="rId18">
        <w:r>
          <w:rPr>
            <w:lang w:val="pt_PT" w:bidi="pt_PT"/>
          </w:rPr>
          <w:rPr>
            <w:color w:val="0000EE"/>
            <w:u w:val="single"/>
          </w:rPr>
          <w:t>3.16–27</w:t>
        </w:r>
      </w:hyperlink>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hyperlink r:id="rId19">
        <w:r>
          <w:rPr>
            <w:lang w:val="pt_PT" w:bidi="pt_PT"/>
          </w:rPr>
          <w:rPr>
            <w:color w:val="0000EE"/>
            <w:u w:val="single"/>
          </w:rPr>
          <w:t>capítulos 4–24</w:t>
        </w:r>
      </w:hyperlink>
      <w:r>
        <w:rPr>
          <w:lang w:val="pt_PT" w:bidi="pt_PT"/>
        </w:rPr>
        <w:t xml:space="preserve">, Ezequiel profere uma litanina de condenação contra Judá e Jerusalém. O profeta realiza uma série de atos de sinais que descrevem o cerco e a destruição de Jerusalém. </w:t>
      </w:r>
      <w:hyperlink r:id="rId20">
        <w:r>
          <w:rPr>
            <w:lang w:val="pt_PT" w:bidi="pt_PT"/>
          </w:rPr>
          <w:rPr>
            <w:color w:val="0000EE"/>
            <w:u w:val="single"/>
          </w:rPr>
          <w:t>Os capítulos 8–11</w:t>
        </w:r>
      </w:hyperlink>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1">
        <w:r>
          <w:rPr>
            <w:lang w:val="pt_PT" w:bidi="pt_PT"/>
          </w:rPr>
          <w:rPr>
            <w:color w:val="0000EE"/>
            <w:u w:val="single"/>
          </w:rPr>
          <w:t>capítulo 24</w:t>
        </w:r>
      </w:hyperlink>
      <w:r>
        <w:rPr>
          <w:lang w:val="pt_PT" w:bidi="pt_PT"/>
        </w:rPr>
        <w:t>).</w:t>
      </w:r>
    </w:p>
    <w:p>
      <w:pPr/>
      <w:r>
        <w:rPr>
          <w:lang w:val="pt_PT" w:bidi="pt_PT"/>
        </w:rPr>
      </w:r>
      <w:r>
        <w:rPr>
          <w:lang w:val="pt_PT" w:bidi="pt_PT"/>
        </w:rPr>
        <w:t>Ezequiel então se volta para a esperança, começando com sete mensagens (</w:t>
      </w:r>
      <w:hyperlink r:id="rId22">
        <w:r>
          <w:rPr>
            <w:lang w:val="pt_PT" w:bidi="pt_PT"/>
          </w:rPr>
          <w:rPr>
            <w:color w:val="0000EE"/>
            <w:u w:val="single"/>
          </w:rPr>
          <w:t>capítulos 25–32</w:t>
        </w:r>
      </w:hyperlink>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hyperlink r:id="rId23">
        <w:r>
          <w:rPr>
            <w:lang w:val="pt_PT" w:bidi="pt_PT"/>
          </w:rPr>
          <w:rPr>
            <w:color w:val="0000EE"/>
            <w:u w:val="single"/>
          </w:rPr>
          <w:t>Gn 12.3</w:t>
        </w:r>
      </w:hyperlink>
      <w:r>
        <w:rPr>
          <w:lang w:val="pt_PT" w:bidi="pt_PT"/>
        </w:rPr>
        <w:t>). O julgamento de Deus viria sobre todos os que tiveram prazer na queda de seu povo e que lucraram com sua morte.</w:t>
      </w:r>
    </w:p>
    <w:p>
      <w:pPr/>
      <w:r>
        <w:rPr>
          <w:lang w:val="pt_PT" w:bidi="pt_PT"/>
        </w:rPr>
      </w:r>
      <w:hyperlink r:id="rId24">
        <w:r>
          <w:rPr>
            <w:lang w:val="pt_PT" w:bidi="pt_PT"/>
          </w:rPr>
          <w:rPr>
            <w:color w:val="0000EE"/>
            <w:u w:val="single"/>
          </w:rPr>
          <w:t>Os capítulos 33–48</w:t>
        </w:r>
      </w:hyperlink>
      <w:r>
        <w:rPr>
          <w:lang w:val="pt_PT" w:bidi="pt_PT"/>
        </w:rPr>
        <w:t xml:space="preserve"> completam o movimento do julgamento para a esperança, começando com o momento decisivo em que os exilados finalmente ouvem as notícias da destruição de Jerusalém (</w:t>
      </w:r>
      <w:hyperlink r:id="rId25">
        <w:r>
          <w:rPr>
            <w:lang w:val="pt_PT" w:bidi="pt_PT"/>
          </w:rPr>
          <w:rPr>
            <w:color w:val="0000EE"/>
            <w:u w:val="single"/>
          </w:rPr>
          <w:t>33.21</w:t>
        </w:r>
      </w:hyperlink>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6">
        <w:r>
          <w:rPr>
            <w:lang w:val="pt_PT" w:bidi="pt_PT"/>
          </w:rPr>
          <w:rPr>
            <w:color w:val="0000EE"/>
            <w:u w:val="single"/>
          </w:rPr>
          <w:t>capítulos 34–37</w:t>
        </w:r>
      </w:hyperlink>
      <w:r>
        <w:rPr>
          <w:lang w:val="pt_PT" w:bidi="pt_PT"/>
        </w:rPr>
        <w:t>). As nuvens negras da guerra ameaçam esta imagem de bênção (</w:t>
      </w:r>
      <w:hyperlink r:id="rId27">
        <w:r>
          <w:rPr>
            <w:lang w:val="pt_PT" w:bidi="pt_PT"/>
          </w:rPr>
          <w:rPr>
            <w:color w:val="0000EE"/>
            <w:u w:val="single"/>
          </w:rPr>
          <w:t>capítulos 38–39</w:t>
        </w:r>
      </w:hyperlink>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hyperlink r:id="rId28">
        <w:r>
          <w:rPr>
            <w:lang w:val="pt_PT" w:bidi="pt_PT"/>
          </w:rPr>
          <w:rPr>
            <w:color w:val="0000EE"/>
            <w:u w:val="single"/>
          </w:rPr>
          <w:t>capítulos 40–48</w:t>
        </w:r>
      </w:hyperlink>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hyperlink r:id="rId29">
        <w:r>
          <w:rPr>
            <w:lang w:val="pt_PT" w:bidi="pt_PT"/>
          </w:rPr>
          <w:rPr>
            <w:color w:val="0000EE"/>
            <w:u w:val="single"/>
          </w:rPr>
          <w:t>1.3</w:t>
        </w:r>
      </w:hyperlink>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0">
        <w:r>
          <w:rPr>
            <w:lang w:val="pt_PT" w:bidi="pt_PT"/>
          </w:rPr>
          <w:rPr>
            <w:color w:val="0000EE"/>
            <w:u w:val="single"/>
          </w:rPr>
          <w:t>33.10</w:t>
        </w:r>
      </w:hyperlink>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1">
        <w:r>
          <w:rPr>
            <w:lang w:val="pt_PT" w:bidi="pt_PT"/>
          </w:rPr>
          <w:rPr>
            <w:color w:val="0000EE"/>
            <w:u w:val="single"/>
          </w:rPr>
          <w:t>11.16</w:t>
        </w:r>
      </w:hyperlink>
      <w:r>
        <w:rPr>
          <w:lang w:val="pt_PT" w:bidi="pt_PT"/>
        </w:rPr>
        <w:t>), onde o próprio Ezequiel viu pela primeira vez a glória do Senhor (</w:t>
      </w:r>
      <w:hyperlink r:id="rId32">
        <w:r>
          <w:rPr>
            <w:lang w:val="pt_PT" w:bidi="pt_PT"/>
          </w:rPr>
          <w:rPr>
            <w:color w:val="0000EE"/>
            <w:u w:val="single"/>
          </w:rPr>
          <w:t>1.1</w:t>
        </w:r>
      </w:hyperlink>
      <w:r>
        <w:rPr>
          <w:lang w:val="pt_PT" w:bidi="pt_PT"/>
        </w:rPr>
        <w:t>). Deus ainda estava controlando todas as coisas, até mesmo as tentativas do rei babilônico Nabucodonosor de consultar seus próprios deuses através da adivinhação (</w:t>
      </w:r>
      <w:hyperlink r:id="rId33">
        <w:r>
          <w:rPr>
            <w:lang w:val="pt_PT" w:bidi="pt_PT"/>
          </w:rPr>
          <w:rPr>
            <w:color w:val="0000EE"/>
            <w:u w:val="single"/>
          </w:rPr>
          <w:t>21.21–23</w:t>
        </w:r>
      </w:hyperlink>
      <w:r>
        <w:rPr>
          <w:lang w:val="pt_PT" w:bidi="pt_PT"/>
        </w:rPr>
        <w:t xml:space="preserve">; cp. </w:t>
      </w:r>
      <w:hyperlink r:id="rId34">
        <w:r>
          <w:rPr>
            <w:lang w:val="pt_PT" w:bidi="pt_PT"/>
          </w:rPr>
          <w:rPr>
            <w:color w:val="0000EE"/>
            <w:u w:val="single"/>
          </w:rPr>
          <w:t>Dn 2–4</w:t>
        </w:r>
      </w:hyperlink>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2">
        <w:r>
          <w:rPr>
            <w:lang w:val="pt_PT" w:bidi="pt_PT"/>
          </w:rPr>
          <w:rPr>
            <w:color w:val="0000EE"/>
            <w:u w:val="single"/>
          </w:rPr>
          <w:t>Ez 25–32</w:t>
        </w:r>
      </w:hyperlink>
      <w:r>
        <w:rPr>
          <w:lang w:val="pt_PT" w:bidi="pt_PT"/>
        </w:rPr>
        <w:t>) demonstraram que Deus não havia esquecido sua antiga promessa de que aqueles que se alegraram com a queda de Israel seriam severamente julgados. Deus não abandonaria seu povo para sempre. Um dia, ele voltaria para ser seu pastor (</w:t>
      </w:r>
      <w:hyperlink r:id="rId35">
        <w:r>
          <w:rPr>
            <w:lang w:val="pt_PT" w:bidi="pt_PT"/>
          </w:rPr>
          <w:rPr>
            <w:color w:val="0000EE"/>
            <w:u w:val="single"/>
          </w:rPr>
          <w:t>34.11</w:t>
        </w:r>
      </w:hyperlink>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hyperlink r:id="rId31">
        <w:r>
          <w:rPr>
            <w:lang w:val="pt_PT" w:bidi="pt_PT"/>
          </w:rPr>
          <w:rPr>
            <w:color w:val="0000EE"/>
            <w:u w:val="single"/>
          </w:rPr>
          <w:t>11.16</w:t>
        </w:r>
      </w:hyperlink>
      <w:r>
        <w:rPr>
          <w:lang w:val="pt_PT" w:bidi="pt_PT"/>
        </w:rPr>
        <w:t xml:space="preserve">; </w:t>
      </w:r>
      <w:hyperlink r:id="rId36">
        <w:r>
          <w:rPr>
            <w:lang w:val="pt_PT" w:bidi="pt_PT"/>
          </w:rPr>
          <w:rPr>
            <w:color w:val="0000EE"/>
            <w:u w:val="single"/>
          </w:rPr>
          <w:t>43.1–5</w:t>
        </w:r>
      </w:hyperlink>
      <w:r>
        <w:rPr>
          <w:lang w:val="pt_PT" w:bidi="pt_PT"/>
        </w:rPr>
        <w:t xml:space="preserve">; </w:t>
      </w:r>
      <w:hyperlink r:id="rId37">
        <w:r>
          <w:rPr>
            <w:lang w:val="pt_PT" w:bidi="pt_PT"/>
          </w:rPr>
          <w:rPr>
            <w:color w:val="0000EE"/>
            <w:u w:val="single"/>
          </w:rPr>
          <w:t>João 1.14</w:t>
        </w:r>
      </w:hyperlink>
      <w:r>
        <w:rPr>
          <w:lang w:val="pt_PT" w:bidi="pt_PT"/>
        </w:rPr>
        <w:t>). O Bom Pastor restaura a justiça para suas ovelhas (</w:t>
      </w:r>
      <w:hyperlink r:id="rId38">
        <w:r>
          <w:rPr>
            <w:lang w:val="pt_PT" w:bidi="pt_PT"/>
          </w:rPr>
          <w:rPr>
            <w:color w:val="0000EE"/>
            <w:u w:val="single"/>
          </w:rPr>
          <w:t>Ez 34.1–24</w:t>
        </w:r>
      </w:hyperlink>
      <w:r>
        <w:rPr>
          <w:lang w:val="pt_PT" w:bidi="pt_PT"/>
        </w:rPr>
        <w:t xml:space="preserve">; </w:t>
      </w:r>
      <w:hyperlink r:id="rId39">
        <w:r>
          <w:rPr>
            <w:lang w:val="pt_PT" w:bidi="pt_PT"/>
          </w:rPr>
          <w:rPr>
            <w:color w:val="0000EE"/>
            <w:u w:val="single"/>
          </w:rPr>
          <w:t>João 10.11</w:t>
        </w:r>
      </w:hyperlink>
      <w:r>
        <w:rPr>
          <w:lang w:val="pt_PT" w:bidi="pt_PT"/>
        </w:rPr>
        <w:t>). Ele nos enche de seu Espírito e nos faz novas criaturas nele (</w:t>
      </w:r>
      <w:hyperlink r:id="rId40">
        <w:r>
          <w:rPr>
            <w:lang w:val="pt_PT" w:bidi="pt_PT"/>
          </w:rPr>
          <w:rPr>
            <w:color w:val="0000EE"/>
            <w:u w:val="single"/>
          </w:rPr>
          <w:t>Ez 36.26–28</w:t>
        </w:r>
      </w:hyperlink>
      <w:r>
        <w:rPr>
          <w:lang w:val="pt_PT" w:bidi="pt_PT"/>
        </w:rPr>
        <w:t xml:space="preserve">; </w:t>
      </w:r>
      <w:hyperlink r:id="rId41">
        <w:r>
          <w:rPr>
            <w:lang w:val="pt_PT" w:bidi="pt_PT"/>
          </w:rPr>
          <w:rPr>
            <w:color w:val="0000EE"/>
            <w:u w:val="single"/>
          </w:rPr>
          <w:t>37.1–14</w:t>
        </w:r>
      </w:hyperlink>
      <w:r>
        <w:rPr>
          <w:lang w:val="pt_PT" w:bidi="pt_PT"/>
        </w:rPr>
        <w:t xml:space="preserve">; </w:t>
      </w:r>
      <w:hyperlink r:id="rId42">
        <w:r>
          <w:rPr>
            <w:lang w:val="pt_PT" w:bidi="pt_PT"/>
          </w:rPr>
          <w:rPr>
            <w:color w:val="0000EE"/>
            <w:u w:val="single"/>
          </w:rPr>
          <w:t>2Co 5.17</w:t>
        </w:r>
      </w:hyperlink>
      <w:r>
        <w:rPr>
          <w:lang w:val="pt_PT" w:bidi="pt_PT"/>
        </w:rPr>
        <w:t>). Aqueles que se aliaram a Cristo têm acesso ainda maior à presença de Deus do que as visões de Ezequiel antecipavam. Eles são capazes de se achegar ao trono da graça livremente e beber da água vivificante que flui do trono (</w:t>
      </w:r>
      <w:hyperlink r:id="rId43">
        <w:r>
          <w:rPr>
            <w:lang w:val="pt_PT" w:bidi="pt_PT"/>
          </w:rPr>
          <w:rPr>
            <w:color w:val="0000EE"/>
            <w:u w:val="single"/>
          </w:rPr>
          <w:t>Ez 47.1–11</w:t>
        </w:r>
      </w:hyperlink>
      <w:r>
        <w:rPr>
          <w:lang w:val="pt_PT" w:bidi="pt_PT"/>
        </w:rPr>
        <w:t xml:space="preserve">; </w:t>
      </w:r>
      <w:hyperlink r:id="rId44">
        <w:r>
          <w:rPr>
            <w:lang w:val="pt_PT" w:bidi="pt_PT"/>
          </w:rPr>
          <w:rPr>
            <w:color w:val="0000EE"/>
            <w:u w:val="single"/>
          </w:rPr>
          <w:t>Ap 22.1–5</w:t>
        </w:r>
      </w:hyperlink>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