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hyperlink r:id="rId13">
        <w:r>
          <w:rPr>
            <w:lang w:val="es_ES" w:bidi="es_ES"/>
          </w:rPr>
          <w:rPr>
            <w:color w:val="0000EE"/>
            <w:u w:val="single"/>
          </w:rPr>
          <w:t>Marcos 1.1</w:t>
        </w:r>
      </w:hyperlink>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hyperlink r:id="rId14">
        <w:r>
          <w:rPr>
            <w:lang w:val="es_ES" w:bidi="es_ES"/>
          </w:rPr>
          <w:rPr>
            <w:color w:val="0000EE"/>
            <w:u w:val="single"/>
          </w:rPr>
          <w:t>Lucas 1.2</w:t>
        </w:r>
      </w:hyperlink>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hyperlink r:id="rId15">
        <w:r>
          <w:rPr>
            <w:lang w:val="es_ES" w:bidi="es_ES"/>
          </w:rPr>
          <w:rPr>
            <w:color w:val="0000EE"/>
            <w:u w:val="single"/>
          </w:rPr>
          <w:t>10.1–52</w:t>
        </w:r>
      </w:hyperlink>
      <w:r>
        <w:rPr>
          <w:lang w:val="es_ES" w:bidi="es_ES"/>
        </w:rPr>
        <w:t>, Jesús y los discípulos viajan de Galilea a Jerusalén, y los últimos capítulos del libro (</w:t>
      </w:r>
      <w:hyperlink r:id="rId16">
        <w:r>
          <w:rPr>
            <w:lang w:val="es_ES" w:bidi="es_ES"/>
          </w:rPr>
          <w:rPr>
            <w:color w:val="0000EE"/>
            <w:u w:val="single"/>
          </w:rPr>
          <w:t>11.1–16:20</w:t>
        </w:r>
      </w:hyperlink>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hyperlink r:id="rId17">
        <w:r>
          <w:rPr>
            <w:lang w:val="es_ES" w:bidi="es_ES"/>
          </w:rPr>
          <w:rPr>
            <w:color w:val="0000EE"/>
            <w:u w:val="single"/>
          </w:rPr>
          <w:t>1.21–45</w:t>
        </w:r>
      </w:hyperlink>
      <w:r>
        <w:rPr>
          <w:lang w:val="es_ES" w:bidi="es_ES"/>
        </w:rPr>
        <w:t xml:space="preserve">; </w:t>
      </w:r>
      <w:hyperlink r:id="rId18">
        <w:r>
          <w:rPr>
            <w:lang w:val="es_ES" w:bidi="es_ES"/>
          </w:rPr>
          <w:rPr>
            <w:color w:val="0000EE"/>
            <w:u w:val="single"/>
          </w:rPr>
          <w:t>4.35–5.43</w:t>
        </w:r>
      </w:hyperlink>
      <w:r>
        <w:rPr>
          <w:lang w:val="es_ES" w:bidi="es_ES"/>
        </w:rPr>
        <w:t>), historias de controversia (</w:t>
      </w:r>
      <w:hyperlink r:id="rId19">
        <w:r>
          <w:rPr>
            <w:lang w:val="es_ES" w:bidi="es_ES"/>
          </w:rPr>
          <w:rPr>
            <w:color w:val="0000EE"/>
            <w:u w:val="single"/>
          </w:rPr>
          <w:t>2.1–3:6</w:t>
        </w:r>
      </w:hyperlink>
      <w:r>
        <w:rPr>
          <w:lang w:val="es_ES" w:bidi="es_ES"/>
        </w:rPr>
        <w:t xml:space="preserve">; </w:t>
      </w:r>
      <w:hyperlink r:id="rId20">
        <w:r>
          <w:rPr>
            <w:lang w:val="es_ES" w:bidi="es_ES"/>
          </w:rPr>
          <w:rPr>
            <w:color w:val="0000EE"/>
            <w:u w:val="single"/>
          </w:rPr>
          <w:t>12.13–37</w:t>
        </w:r>
      </w:hyperlink>
      <w:r>
        <w:rPr>
          <w:lang w:val="es_ES" w:bidi="es_ES"/>
        </w:rPr>
        <w:t>), parábolas (</w:t>
      </w:r>
      <w:hyperlink r:id="rId21">
        <w:r>
          <w:rPr>
            <w:lang w:val="es_ES" w:bidi="es_ES"/>
          </w:rPr>
          <w:rPr>
            <w:color w:val="0000EE"/>
            <w:u w:val="single"/>
          </w:rPr>
          <w:t>4.1–34</w:t>
        </w:r>
      </w:hyperlink>
      <w:r>
        <w:rPr>
          <w:lang w:val="es_ES" w:bidi="es_ES"/>
        </w:rPr>
        <w:t>) y enseñanzas sobre el fin (</w:t>
      </w:r>
      <w:hyperlink r:id="rId22">
        <w:r>
          <w:rPr>
            <w:lang w:val="es_ES" w:bidi="es_ES"/>
          </w:rPr>
          <w:rPr>
            <w:color w:val="0000EE"/>
            <w:u w:val="single"/>
          </w:rPr>
          <w:t>13.5–37</w:t>
        </w:r>
      </w:hyperlink>
      <w:r>
        <w:rPr>
          <w:lang w:val="es_ES" w:bidi="es_ES"/>
        </w:rPr>
        <w:t>). Algunos de los materiales incluyen indicadores de secuencia cronológica: el ministerio de Jesús comenzó con su bautismo (</w:t>
      </w:r>
      <w:hyperlink r:id="rId23">
        <w:r>
          <w:rPr>
            <w:lang w:val="es_ES" w:bidi="es_ES"/>
          </w:rPr>
          <w:rPr>
            <w:color w:val="0000EE"/>
            <w:u w:val="single"/>
          </w:rPr>
          <w:t>1.2–11,</w:t>
        </w:r>
      </w:hyperlink>
      <w:r>
        <w:rPr>
          <w:lang w:val="es_ES" w:bidi="es_ES"/>
        </w:rPr>
        <w:t xml:space="preserve"> ver </w:t>
      </w:r>
      <w:hyperlink r:id="rId24">
        <w:r>
          <w:rPr>
            <w:lang w:val="es_ES" w:bidi="es_ES"/>
          </w:rPr>
          <w:rPr>
            <w:color w:val="0000EE"/>
            <w:u w:val="single"/>
          </w:rPr>
          <w:t>Hechos 1.22</w:t>
        </w:r>
      </w:hyperlink>
      <w:r>
        <w:rPr>
          <w:lang w:val="es_ES" w:bidi="es_ES"/>
        </w:rPr>
        <w:t xml:space="preserve">; </w:t>
      </w:r>
      <w:hyperlink r:id="rId25">
        <w:r>
          <w:rPr>
            <w:lang w:val="es_ES" w:bidi="es_ES"/>
          </w:rPr>
          <w:rPr>
            <w:color w:val="0000EE"/>
            <w:u w:val="single"/>
          </w:rPr>
          <w:t>10.37</w:t>
        </w:r>
      </w:hyperlink>
      <w:r>
        <w:rPr>
          <w:lang w:val="es_ES" w:bidi="es_ES"/>
        </w:rPr>
        <w:t>) y tentación (</w:t>
      </w:r>
      <w:hyperlink r:id="rId26">
        <w:r>
          <w:rPr>
            <w:lang w:val="es_ES" w:bidi="es_ES"/>
          </w:rPr>
          <w:rPr>
            <w:color w:val="0000EE"/>
            <w:u w:val="single"/>
          </w:rPr>
          <w:t>Marcos 1.12–13</w:t>
        </w:r>
      </w:hyperlink>
      <w:r>
        <w:rPr>
          <w:lang w:val="es_ES" w:bidi="es_ES"/>
        </w:rPr>
        <w:t>); su sufrimiento, muerte y resurrección ocurrieron al final (</w:t>
      </w:r>
      <w:hyperlink r:id="rId27">
        <w:r>
          <w:rPr>
            <w:lang w:val="es_ES" w:bidi="es_ES"/>
          </w:rPr>
          <w:rPr>
            <w:color w:val="0000EE"/>
            <w:u w:val="single"/>
          </w:rPr>
          <w:t>11.1–16.8</w:t>
        </w:r>
      </w:hyperlink>
      <w:r>
        <w:rPr>
          <w:lang w:val="es_ES" w:bidi="es_ES"/>
        </w:rPr>
        <w:t>). Algunos relatos individuales están vinculados cronológicamente, como la confesión de Pedro en Cesarea de Filipo (</w:t>
      </w:r>
      <w:hyperlink r:id="rId28">
        <w:r>
          <w:rPr>
            <w:lang w:val="es_ES" w:bidi="es_ES"/>
          </w:rPr>
          <w:rPr>
            <w:color w:val="0000EE"/>
            <w:u w:val="single"/>
          </w:rPr>
          <w:t>8.27–33</w:t>
        </w:r>
      </w:hyperlink>
      <w:r>
        <w:rPr>
          <w:lang w:val="es_ES" w:bidi="es_ES"/>
        </w:rPr>
        <w:t>) y la transfiguración de Jesús (</w:t>
      </w:r>
      <w:hyperlink r:id="rId29">
        <w:r>
          <w:rPr>
            <w:lang w:val="es_ES" w:bidi="es_ES"/>
          </w:rPr>
          <w:rPr>
            <w:color w:val="0000EE"/>
            <w:u w:val="single"/>
          </w:rPr>
          <w:t>9.1–13,</w:t>
        </w:r>
      </w:hyperlink>
      <w:r>
        <w:rPr>
          <w:lang w:val="es_ES" w:bidi="es_ES"/>
        </w:rPr>
        <w:t xml:space="preserve"> ver también </w:t>
      </w:r>
      <w:hyperlink r:id="rId30">
        <w:r>
          <w:rPr>
            <w:lang w:val="es_ES" w:bidi="es_ES"/>
          </w:rPr>
          <w:rPr>
            <w:color w:val="0000EE"/>
            <w:u w:val="single"/>
          </w:rPr>
          <w:t>1.29</w:t>
        </w:r>
      </w:hyperlink>
      <w:r>
        <w:rPr>
          <w:lang w:val="es_ES" w:bidi="es_ES"/>
        </w:rPr>
        <w:t xml:space="preserve">, </w:t>
      </w:r>
      <w:hyperlink r:id="rId31">
        <w:r>
          <w:rPr>
            <w:lang w:val="es_ES" w:bidi="es_ES"/>
          </w:rPr>
          <w:rPr>
            <w:color w:val="0000EE"/>
            <w:u w:val="single"/>
          </w:rPr>
          <w:t>35</w:t>
        </w:r>
      </w:hyperlink>
      <w:r>
        <w:rPr>
          <w:lang w:val="es_ES" w:bidi="es_ES"/>
        </w:rPr>
        <w:t>).</w:t>
      </w:r>
    </w:p>
    <w:p>
      <w:pPr/>
      <w:r>
        <w:rPr>
          <w:lang w:val="es_ES" w:bidi="es_ES"/>
        </w:rPr>
      </w:r>
      <w:r>
        <w:rPr>
          <w:lang w:val="es_ES" w:bidi="es_ES"/>
        </w:rPr>
        <w:t xml:space="preserve">El punto de inflexión más importante en el ministerio de Jesús se destaca en </w:t>
      </w:r>
      <w:hyperlink r:id="rId28">
        <w:r>
          <w:rPr>
            <w:lang w:val="es_ES" w:bidi="es_ES"/>
          </w:rPr>
          <w:rPr>
            <w:color w:val="0000EE"/>
            <w:u w:val="single"/>
          </w:rPr>
          <w:t>8.27–33</w:t>
        </w:r>
      </w:hyperlink>
      <w:r>
        <w:rPr>
          <w:lang w:val="es_ES" w:bidi="es_ES"/>
        </w:rPr>
        <w:t>, muy cerca del centro del libro. En Cesarea de Filipo, los discípulos confiesan por primera vez su creencia de que Jesús es el Mesías (</w:t>
      </w:r>
      <w:hyperlink r:id="rId32">
        <w:r>
          <w:rPr>
            <w:lang w:val="es_ES" w:bidi="es_ES"/>
          </w:rPr>
          <w:rPr>
            <w:color w:val="0000EE"/>
            <w:u w:val="single"/>
          </w:rPr>
          <w:t>8.29</w:t>
        </w:r>
      </w:hyperlink>
      <w:r>
        <w:rPr>
          <w:lang w:val="es_ES" w:bidi="es_ES"/>
        </w:rPr>
        <w:t>). Tras este reconocimiento, Jesús "</w:t>
      </w:r>
      <w:r>
        <w:rPr>
          <w:lang w:val="es_ES" w:bidi="es_ES"/>
        </w:rPr>
        <w:t>comenzó a enseñarles</w:t>
      </w:r>
      <w:r>
        <w:rPr>
          <w:lang w:val="es_ES" w:bidi="es_ES"/>
        </w:rPr>
        <w:t>" sobre su muerte inminente y resurrección (</w:t>
      </w:r>
      <w:hyperlink r:id="rId33">
        <w:r>
          <w:rPr>
            <w:lang w:val="es_ES" w:bidi="es_ES"/>
          </w:rPr>
          <w:rPr>
            <w:color w:val="0000EE"/>
            <w:u w:val="single"/>
          </w:rPr>
          <w:t>8.31</w:t>
        </w:r>
      </w:hyperlink>
      <w:r>
        <w:rPr>
          <w:lang w:val="es_ES" w:bidi="es_ES"/>
        </w:rPr>
        <w:t xml:space="preserve">; cp. </w:t>
      </w:r>
      <w:hyperlink r:id="rId34">
        <w:r>
          <w:rPr>
            <w:lang w:val="es_ES" w:bidi="es_ES"/>
          </w:rPr>
          <w:rPr>
            <w:color w:val="0000EE"/>
            <w:u w:val="single"/>
          </w:rPr>
          <w:t>Mateo 16.21</w:t>
        </w:r>
      </w:hyperlink>
      <w:r>
        <w:rPr>
          <w:lang w:val="es_ES" w:bidi="es_ES"/>
        </w:rPr>
        <w:t xml:space="preserve">). La muerte y resurrección de Jesús son el tema dominante de </w:t>
      </w:r>
      <w:hyperlink r:id="rId35">
        <w:r>
          <w:rPr>
            <w:lang w:val="es_ES" w:bidi="es_ES"/>
          </w:rPr>
          <w:rPr>
            <w:color w:val="0000EE"/>
            <w:u w:val="single"/>
          </w:rPr>
          <w:t>8.31–16.8</w:t>
        </w:r>
      </w:hyperlink>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hyperlink r:id="rId36">
        <w:r>
          <w:rPr>
            <w:lang w:val="es_ES" w:bidi="es_ES"/>
          </w:rPr>
          <w:rPr>
            <w:color w:val="0000EE"/>
            <w:u w:val="single"/>
          </w:rPr>
          <w:t>Hechos 13.13</w:t>
        </w:r>
      </w:hyperlink>
      <w:r>
        <w:rPr>
          <w:lang w:val="es_ES" w:bidi="es_ES"/>
        </w:rPr>
        <w:t xml:space="preserve">; </w:t>
      </w:r>
      <w:hyperlink r:id="rId37">
        <w:r>
          <w:rPr>
            <w:lang w:val="es_ES" w:bidi="es_ES"/>
          </w:rPr>
          <w:rPr>
            <w:color w:val="0000EE"/>
            <w:u w:val="single"/>
          </w:rPr>
          <w:t>15.36–41</w:t>
        </w:r>
      </w:hyperlink>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hyperlink r:id="rId38">
        <w:r>
          <w:rPr>
            <w:lang w:val="es_ES" w:bidi="es_ES"/>
          </w:rPr>
          <w:rPr>
            <w:color w:val="0000EE"/>
            <w:u w:val="single"/>
          </w:rPr>
          <w:t>Marcos 5.41</w:t>
        </w:r>
      </w:hyperlink>
      <w:r>
        <w:rPr>
          <w:lang w:val="es_ES" w:bidi="es_ES"/>
        </w:rPr>
        <w:t xml:space="preserve">; </w:t>
      </w:r>
      <w:hyperlink r:id="rId39">
        <w:r>
          <w:rPr>
            <w:lang w:val="es_ES" w:bidi="es_ES"/>
          </w:rPr>
          <w:rPr>
            <w:color w:val="0000EE"/>
            <w:u w:val="single"/>
          </w:rPr>
          <w:t>7.34</w:t>
        </w:r>
      </w:hyperlink>
      <w:r>
        <w:rPr>
          <w:lang w:val="es_ES" w:bidi="es_ES"/>
        </w:rPr>
        <w:t xml:space="preserve">; </w:t>
      </w:r>
      <w:hyperlink r:id="rId40">
        <w:r>
          <w:rPr>
            <w:lang w:val="es_ES" w:bidi="es_ES"/>
          </w:rPr>
          <w:rPr>
            <w:color w:val="0000EE"/>
            <w:u w:val="single"/>
          </w:rPr>
          <w:t>15.34</w:t>
        </w:r>
      </w:hyperlink>
      <w:r>
        <w:rPr>
          <w:lang w:val="es_ES" w:bidi="es_ES"/>
        </w:rPr>
        <w:t xml:space="preserve">). También era judío, ya que conocía y explicaba diversas costumbres judías a sus lectores gentiles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Juan Marcos era de hecho un judío que fue criado en Jerusalén (</w:t>
      </w:r>
      <w:hyperlink r:id="rId43">
        <w:r>
          <w:rPr>
            <w:lang w:val="es_ES" w:bidi="es_ES"/>
          </w:rPr>
          <w:rPr>
            <w:color w:val="0000EE"/>
            <w:u w:val="single"/>
          </w:rPr>
          <w:t>Hechos 12.12</w:t>
        </w:r>
      </w:hyperlink>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hyperlink r:id="rId44">
        <w:r>
          <w:rPr>
            <w:lang w:val="es_ES" w:bidi="es_ES"/>
          </w:rPr>
          <w:rPr>
            <w:color w:val="0000EE"/>
            <w:u w:val="single"/>
          </w:rPr>
          <w:t>Marcos 1.16–20</w:t>
        </w:r>
      </w:hyperlink>
      <w:r>
        <w:rPr>
          <w:lang w:val="es_ES" w:bidi="es_ES"/>
        </w:rPr>
        <w:t xml:space="preserve">; </w:t>
      </w:r>
      <w:hyperlink r:id="rId45">
        <w:r>
          <w:rPr>
            <w:lang w:val="es_ES" w:bidi="es_ES"/>
          </w:rPr>
          <w:rPr>
            <w:color w:val="0000EE"/>
            <w:u w:val="single"/>
          </w:rPr>
          <w:t>8.32–33</w:t>
        </w:r>
      </w:hyperlink>
      <w:r>
        <w:rPr>
          <w:lang w:val="es_ES" w:bidi="es_ES"/>
        </w:rPr>
        <w:t xml:space="preserve">; </w:t>
      </w:r>
      <w:hyperlink r:id="rId46">
        <w:r>
          <w:rPr>
            <w:lang w:val="es_ES" w:bidi="es_ES"/>
          </w:rPr>
          <w:rPr>
            <w:color w:val="0000EE"/>
            <w:u w:val="single"/>
          </w:rPr>
          <w:t>9.5–6</w:t>
        </w:r>
      </w:hyperlink>
      <w:r>
        <w:rPr>
          <w:lang w:val="es_ES" w:bidi="es_ES"/>
        </w:rPr>
        <w:t xml:space="preserve">; </w:t>
      </w:r>
      <w:hyperlink r:id="rId47">
        <w:r>
          <w:rPr>
            <w:lang w:val="es_ES" w:bidi="es_ES"/>
          </w:rPr>
          <w:rPr>
            <w:color w:val="0000EE"/>
            <w:u w:val="single"/>
          </w:rPr>
          <w:t>14.28–31</w:t>
        </w:r>
      </w:hyperlink>
      <w:r>
        <w:rPr>
          <w:lang w:val="es_ES" w:bidi="es_ES"/>
        </w:rPr>
        <w:t xml:space="preserve">, </w:t>
      </w:r>
      <w:hyperlink r:id="rId48">
        <w:r>
          <w:rPr>
            <w:lang w:val="es_ES" w:bidi="es_ES"/>
          </w:rPr>
          <w:rPr>
            <w:color w:val="0000EE"/>
            <w:u w:val="single"/>
          </w:rPr>
          <w:t>66–72</w:t>
        </w:r>
      </w:hyperlink>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hyperlink r:id="rId49">
        <w:r>
          <w:rPr>
            <w:lang w:val="es_ES" w:bidi="es_ES"/>
          </w:rPr>
          <w:rPr>
            <w:color w:val="0000EE"/>
            <w:u w:val="single"/>
          </w:rPr>
          <w:t>4.17</w:t>
        </w:r>
      </w:hyperlink>
      <w:r>
        <w:rPr>
          <w:lang w:val="es_ES" w:bidi="es_ES"/>
        </w:rPr>
        <w:t xml:space="preserve">; </w:t>
      </w:r>
      <w:hyperlink r:id="rId50">
        <w:r>
          <w:rPr>
            <w:lang w:val="es_ES" w:bidi="es_ES"/>
          </w:rPr>
          <w:rPr>
            <w:color w:val="0000EE"/>
            <w:u w:val="single"/>
          </w:rPr>
          <w:t>8.34–38</w:t>
        </w:r>
      </w:hyperlink>
      <w:r>
        <w:rPr>
          <w:lang w:val="es_ES" w:bidi="es_ES"/>
        </w:rPr>
        <w:t xml:space="preserve">; </w:t>
      </w:r>
      <w:hyperlink r:id="rId51">
        <w:r>
          <w:rPr>
            <w:lang w:val="es_ES" w:bidi="es_ES"/>
          </w:rPr>
          <w:rPr>
            <w:color w:val="0000EE"/>
            <w:u w:val="single"/>
          </w:rPr>
          <w:t>10.30</w:t>
        </w:r>
      </w:hyperlink>
      <w:r>
        <w:rPr>
          <w:lang w:val="es_ES" w:bidi="es_ES"/>
        </w:rPr>
        <w:t xml:space="preserve">; </w:t>
      </w:r>
      <w:hyperlink r:id="rId52">
        <w:r>
          <w:rPr>
            <w:lang w:val="es_ES" w:bidi="es_ES"/>
          </w:rPr>
          <w:rPr>
            <w:color w:val="0000EE"/>
            <w:u w:val="single"/>
          </w:rPr>
          <w:t>13.9–13</w:t>
        </w:r>
      </w:hyperlink>
      <w:r>
        <w:rPr>
          <w:lang w:val="es_ES" w:bidi="es_ES"/>
        </w:rPr>
        <w:t xml:space="preserve">) sugiere un período durante o poco después de la persecución de Nerón a mediados de los años 60. Y (2) El discurso de Jesús registrado en el capítulo </w:t>
      </w:r>
      <w:hyperlink r:id="rId53">
        <w:r>
          <w:rPr>
            <w:lang w:val="es_ES" w:bidi="es_ES"/>
          </w:rPr>
          <w:rPr>
            <w:color w:val="0000EE"/>
            <w:u w:val="single"/>
          </w:rPr>
          <w:t>13</w:t>
        </w:r>
      </w:hyperlink>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hyperlink r:id="rId41">
        <w:r>
          <w:rPr>
            <w:lang w:val="es_ES" w:bidi="es_ES"/>
          </w:rPr>
          <w:rPr>
            <w:color w:val="0000EE"/>
            <w:u w:val="single"/>
          </w:rPr>
          <w:t>7.3–4</w:t>
        </w:r>
      </w:hyperlink>
      <w:r>
        <w:rPr>
          <w:lang w:val="es_ES" w:bidi="es_ES"/>
        </w:rPr>
        <w:t xml:space="preserve">; </w:t>
      </w:r>
      <w:hyperlink r:id="rId42">
        <w:r>
          <w:rPr>
            <w:lang w:val="es_ES" w:bidi="es_ES"/>
          </w:rPr>
          <w:rPr>
            <w:color w:val="0000EE"/>
            <w:u w:val="single"/>
          </w:rPr>
          <w:t>14.12</w:t>
        </w:r>
      </w:hyperlink>
      <w:r>
        <w:rPr>
          <w:lang w:val="es_ES" w:bidi="es_ES"/>
        </w:rPr>
        <w:t>) y distingue a sus lectores de "los judíos" (</w:t>
      </w:r>
      <w:hyperlink r:id="rId54">
        <w:r>
          <w:rPr>
            <w:lang w:val="es_ES" w:bidi="es_ES"/>
          </w:rPr>
          <w:rPr>
            <w:color w:val="0000EE"/>
            <w:u w:val="single"/>
          </w:rPr>
          <w:t>7.3</w:t>
        </w:r>
      </w:hyperlink>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hyperlink r:id="rId55">
        <w:r>
          <w:rPr>
            <w:lang w:val="es_ES" w:bidi="es_ES"/>
          </w:rPr>
          <w:rPr>
            <w:color w:val="0000EE"/>
            <w:u w:val="single"/>
          </w:rPr>
          <w:t>2.25–26</w:t>
        </w:r>
      </w:hyperlink>
      <w:r>
        <w:rPr>
          <w:lang w:val="es_ES" w:bidi="es_ES"/>
        </w:rPr>
        <w:t>) ni cosas como quién era Juan el Bautista (</w:t>
      </w:r>
      <w:hyperlink r:id="rId56">
        <w:r>
          <w:rPr>
            <w:lang w:val="es_ES" w:bidi="es_ES"/>
          </w:rPr>
          <w:rPr>
            <w:color w:val="0000EE"/>
            <w:u w:val="single"/>
          </w:rPr>
          <w:t>1.2–8</w:t>
        </w:r>
      </w:hyperlink>
      <w:r>
        <w:rPr>
          <w:lang w:val="es_ES" w:bidi="es_ES"/>
        </w:rPr>
        <w:t>), quién era el profeta Isaías (</w:t>
      </w:r>
      <w:hyperlink r:id="rId57">
        <w:r>
          <w:rPr>
            <w:lang w:val="es_ES" w:bidi="es_ES"/>
          </w:rPr>
          <w:rPr>
            <w:color w:val="0000EE"/>
            <w:u w:val="single"/>
          </w:rPr>
          <w:t>1.2</w:t>
        </w:r>
      </w:hyperlink>
      <w:r>
        <w:rPr>
          <w:lang w:val="es_ES" w:bidi="es_ES"/>
        </w:rPr>
        <w:t>) o quiénes eran los fariseos y los maestros de la ley religiosa (</w:t>
      </w:r>
      <w:hyperlink r:id="rId58">
        <w:r>
          <w:rPr>
            <w:lang w:val="es_ES" w:bidi="es_ES"/>
          </w:rPr>
          <w:rPr>
            <w:color w:val="0000EE"/>
            <w:u w:val="single"/>
          </w:rPr>
          <w:t>7:1</w:t>
        </w:r>
      </w:hyperlink>
      <w:r>
        <w:rPr>
          <w:lang w:val="es_ES" w:bidi="es_ES"/>
        </w:rPr>
        <w:t>).</w:t>
      </w:r>
    </w:p>
    <w:p>
      <w:pPr/>
      <w:r>
        <w:rPr>
          <w:lang w:val="es_ES" w:bidi="es_ES"/>
        </w:rPr>
      </w:r>
      <w:r>
        <w:rPr>
          <w:lang w:val="es_ES" w:bidi="es_ES"/>
        </w:rPr>
        <w:t xml:space="preserve">También es evidente que los lectores eran romanos, como lo indican los “latinismos” en Marcos. En </w:t>
      </w:r>
      <w:hyperlink r:id="rId59">
        <w:r>
          <w:rPr>
            <w:lang w:val="es_ES" w:bidi="es_ES"/>
          </w:rPr>
          <w:rPr>
            <w:color w:val="0000EE"/>
            <w:u w:val="single"/>
          </w:rPr>
          <w:t>6.27</w:t>
        </w:r>
      </w:hyperlink>
      <w:r>
        <w:rPr>
          <w:lang w:val="es_ES" w:bidi="es_ES"/>
        </w:rPr>
        <w:t xml:space="preserve">, usa una palabra latina que significa "soldado"; en </w:t>
      </w:r>
      <w:hyperlink r:id="rId60">
        <w:r>
          <w:rPr>
            <w:lang w:val="es_ES" w:bidi="es_ES"/>
          </w:rPr>
          <w:rPr>
            <w:color w:val="0000EE"/>
            <w:u w:val="single"/>
          </w:rPr>
          <w:t>12.42</w:t>
        </w:r>
      </w:hyperlink>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hyperlink r:id="rId61">
        <w:r>
          <w:rPr>
            <w:lang w:val="es_ES" w:bidi="es_ES"/>
          </w:rPr>
          <w:rPr>
            <w:color w:val="0000EE"/>
            <w:u w:val="single"/>
          </w:rPr>
          <w:t>15.39</w:t>
        </w:r>
      </w:hyperlink>
      <w:r>
        <w:rPr>
          <w:lang w:val="es_ES" w:bidi="es_ES"/>
        </w:rPr>
        <w:t xml:space="preserve">, </w:t>
      </w:r>
      <w:hyperlink r:id="rId62">
        <w:r>
          <w:rPr>
            <w:lang w:val="es_ES" w:bidi="es_ES"/>
          </w:rPr>
          <w:rPr>
            <w:color w:val="0000EE"/>
            <w:u w:val="single"/>
          </w:rPr>
          <w:t>44–45</w:t>
        </w:r>
      </w:hyperlink>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hyperlink r:id="rId63">
        <w:r>
          <w:rPr>
            <w:lang w:val="es_ES" w:bidi="es_ES"/>
          </w:rPr>
          <w:rPr>
            <w:color w:val="0000EE"/>
            <w:u w:val="single"/>
          </w:rPr>
          <w:t>1.21–22</w:t>
        </w:r>
      </w:hyperlink>
      <w:r>
        <w:rPr>
          <w:lang w:val="es_ES" w:bidi="es_ES"/>
        </w:rPr>
        <w:t xml:space="preserve">; </w:t>
      </w:r>
      <w:hyperlink r:id="rId64">
        <w:r>
          <w:rPr>
            <w:lang w:val="es_ES" w:bidi="es_ES"/>
          </w:rPr>
          <w:rPr>
            <w:color w:val="0000EE"/>
            <w:u w:val="single"/>
          </w:rPr>
          <w:t>2.1</w:t>
        </w:r>
      </w:hyperlink>
      <w:r>
        <w:rPr>
          <w:lang w:val="es_ES" w:bidi="es_ES"/>
        </w:rPr>
        <w:t xml:space="preserve">; </w:t>
      </w:r>
      <w:hyperlink r:id="rId65">
        <w:r>
          <w:rPr>
            <w:lang w:val="es_ES" w:bidi="es_ES"/>
          </w:rPr>
          <w:rPr>
            <w:color w:val="0000EE"/>
            <w:u w:val="single"/>
          </w:rPr>
          <w:t>4.1</w:t>
        </w:r>
      </w:hyperlink>
      <w:r>
        <w:rPr>
          <w:lang w:val="es_ES" w:bidi="es_ES"/>
        </w:rPr>
        <w:t xml:space="preserve">; </w:t>
      </w:r>
      <w:hyperlink r:id="rId58">
        <w:r>
          <w:rPr>
            <w:lang w:val="es_ES" w:bidi="es_ES"/>
          </w:rPr>
          <w:rPr>
            <w:color w:val="0000EE"/>
            <w:u w:val="single"/>
          </w:rPr>
          <w:t>7.1</w:t>
        </w:r>
      </w:hyperlink>
      <w:r>
        <w:rPr>
          <w:lang w:val="es_ES" w:bidi="es_ES"/>
        </w:rPr>
        <w:t xml:space="preserve">), en sus comentarios explicativos (por ejemplo, </w:t>
      </w:r>
      <w:hyperlink r:id="rId66">
        <w:r>
          <w:rPr>
            <w:lang w:val="es_ES" w:bidi="es_ES"/>
          </w:rPr>
          <w:rPr>
            <w:color w:val="0000EE"/>
            <w:u w:val="single"/>
          </w:rPr>
          <w:t>1.16</w:t>
        </w:r>
      </w:hyperlink>
      <w:r>
        <w:rPr>
          <w:lang w:val="es_ES" w:bidi="es_ES"/>
        </w:rPr>
        <w:t xml:space="preserve">; </w:t>
      </w:r>
      <w:hyperlink r:id="rId67">
        <w:r>
          <w:rPr>
            <w:lang w:val="es_ES" w:bidi="es_ES"/>
          </w:rPr>
          <w:rPr>
            <w:color w:val="0000EE"/>
            <w:u w:val="single"/>
          </w:rPr>
          <w:t>2.15</w:t>
        </w:r>
      </w:hyperlink>
      <w:r>
        <w:rPr>
          <w:lang w:val="es_ES" w:bidi="es_ES"/>
        </w:rPr>
        <w:t xml:space="preserve">; </w:t>
      </w:r>
      <w:hyperlink r:id="rId68">
        <w:r>
          <w:rPr>
            <w:lang w:val="es_ES" w:bidi="es_ES"/>
          </w:rPr>
          <w:rPr>
            <w:color w:val="0000EE"/>
            <w:u w:val="single"/>
          </w:rPr>
          <w:t>5.8</w:t>
        </w:r>
      </w:hyperlink>
      <w:r>
        <w:rPr>
          <w:lang w:val="es_ES" w:bidi="es_ES"/>
        </w:rPr>
        <w:t xml:space="preserve">, </w:t>
      </w:r>
      <w:hyperlink r:id="rId69">
        <w:r>
          <w:rPr>
            <w:lang w:val="es_ES" w:bidi="es_ES"/>
          </w:rPr>
          <w:rPr>
            <w:color w:val="0000EE"/>
            <w:u w:val="single"/>
          </w:rPr>
          <w:t>28</w:t>
        </w:r>
      </w:hyperlink>
      <w:r>
        <w:rPr>
          <w:lang w:val="es_ES" w:bidi="es_ES"/>
        </w:rPr>
        <w:t xml:space="preserve">, </w:t>
      </w:r>
      <w:hyperlink r:id="rId70">
        <w:r>
          <w:rPr>
            <w:lang w:val="es_ES" w:bidi="es_ES"/>
          </w:rPr>
          <w:rPr>
            <w:color w:val="0000EE"/>
            <w:u w:val="single"/>
          </w:rPr>
          <w:t>42</w:t>
        </w:r>
      </w:hyperlink>
      <w:r>
        <w:rPr>
          <w:lang w:val="es_ES" w:bidi="es_ES"/>
        </w:rPr>
        <w:t xml:space="preserve">; </w:t>
      </w:r>
      <w:hyperlink r:id="rId71">
        <w:r>
          <w:rPr>
            <w:lang w:val="es_ES" w:bidi="es_ES"/>
          </w:rPr>
          <w:rPr>
            <w:color w:val="0000EE"/>
            <w:u w:val="single"/>
          </w:rPr>
          <w:t>6.14</w:t>
        </w:r>
      </w:hyperlink>
      <w:r>
        <w:rPr>
          <w:lang w:val="es_ES" w:bidi="es_ES"/>
        </w:rPr>
        <w:t xml:space="preserve">, </w:t>
      </w:r>
      <w:hyperlink r:id="rId72">
        <w:r>
          <w:rPr>
            <w:lang w:val="es_ES" w:bidi="es_ES"/>
          </w:rPr>
          <w:rPr>
            <w:color w:val="0000EE"/>
            <w:u w:val="single"/>
          </w:rPr>
          <w:t>17</w:t>
        </w:r>
      </w:hyperlink>
      <w:r>
        <w:rPr>
          <w:lang w:val="es_ES" w:bidi="es_ES"/>
        </w:rPr>
        <w:t xml:space="preserve">, </w:t>
      </w:r>
      <w:hyperlink r:id="rId73">
        <w:r>
          <w:rPr>
            <w:lang w:val="es_ES" w:bidi="es_ES"/>
          </w:rPr>
          <w:rPr>
            <w:color w:val="0000EE"/>
            <w:u w:val="single"/>
          </w:rPr>
          <w:t>20</w:t>
        </w:r>
      </w:hyperlink>
      <w:r>
        <w:rPr>
          <w:lang w:val="es_ES" w:bidi="es_ES"/>
        </w:rPr>
        <w:t xml:space="preserve">, </w:t>
      </w:r>
      <w:hyperlink r:id="rId74">
        <w:r>
          <w:rPr>
            <w:lang w:val="es_ES" w:bidi="es_ES"/>
          </w:rPr>
          <w:rPr>
            <w:color w:val="0000EE"/>
            <w:u w:val="single"/>
          </w:rPr>
          <w:t>52</w:t>
        </w:r>
      </w:hyperlink>
      <w:r>
        <w:rPr>
          <w:lang w:val="es_ES" w:bidi="es_ES"/>
        </w:rPr>
        <w:t xml:space="preserve">; </w:t>
      </w:r>
      <w:hyperlink r:id="rId41">
        <w:r>
          <w:rPr>
            <w:lang w:val="es_ES" w:bidi="es_ES"/>
          </w:rPr>
          <w:rPr>
            <w:color w:val="0000EE"/>
            <w:u w:val="single"/>
          </w:rPr>
          <w:t>7.3–4</w:t>
        </w:r>
      </w:hyperlink>
      <w:r>
        <w:rPr>
          <w:lang w:val="es_ES" w:bidi="es_ES"/>
        </w:rPr>
        <w:t xml:space="preserve">), y en sus resúmenes (por ejemplo, </w:t>
      </w:r>
      <w:hyperlink r:id="rId75">
        <w:r>
          <w:rPr>
            <w:lang w:val="es_ES" w:bidi="es_ES"/>
          </w:rPr>
          <w:rPr>
            <w:color w:val="0000EE"/>
            <w:u w:val="single"/>
          </w:rPr>
          <w:t>1.14–15</w:t>
        </w:r>
      </w:hyperlink>
      <w:r>
        <w:rPr>
          <w:lang w:val="es_ES" w:bidi="es_ES"/>
        </w:rPr>
        <w:t xml:space="preserve">, </w:t>
      </w:r>
      <w:hyperlink r:id="rId76">
        <w:r>
          <w:rPr>
            <w:lang w:val="es_ES" w:bidi="es_ES"/>
          </w:rPr>
          <w:rPr>
            <w:color w:val="0000EE"/>
            <w:u w:val="single"/>
          </w:rPr>
          <w:t>34</w:t>
        </w:r>
      </w:hyperlink>
      <w:r>
        <w:rPr>
          <w:lang w:val="es_ES" w:bidi="es_ES"/>
        </w:rPr>
        <w:t xml:space="preserve">, </w:t>
      </w:r>
      <w:hyperlink r:id="rId77">
        <w:r>
          <w:rPr>
            <w:lang w:val="es_ES" w:bidi="es_ES"/>
          </w:rPr>
          <w:rPr>
            <w:color w:val="0000EE"/>
            <w:u w:val="single"/>
          </w:rPr>
          <w:t>39</w:t>
        </w:r>
      </w:hyperlink>
      <w:r>
        <w:rPr>
          <w:lang w:val="es_ES" w:bidi="es_ES"/>
        </w:rPr>
        <w:t xml:space="preserve">; </w:t>
      </w:r>
      <w:hyperlink r:id="rId78">
        <w:r>
          <w:rPr>
            <w:lang w:val="es_ES" w:bidi="es_ES"/>
          </w:rPr>
          <w:rPr>
            <w:color w:val="0000EE"/>
            <w:u w:val="single"/>
          </w:rPr>
          <w:t>3.7–12</w:t>
        </w:r>
      </w:hyperlink>
      <w:r>
        <w:rPr>
          <w:lang w:val="es_ES" w:bidi="es_ES"/>
        </w:rPr>
        <w:t xml:space="preserve">; </w:t>
      </w:r>
      <w:hyperlink r:id="rId79">
        <w:r>
          <w:rPr>
            <w:lang w:val="es_ES" w:bidi="es_ES"/>
          </w:rPr>
          <w:rPr>
            <w:color w:val="0000EE"/>
            <w:u w:val="single"/>
          </w:rPr>
          <w:t>6.53–56</w:t>
        </w:r>
      </w:hyperlink>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hyperlink r:id="rId80">
        <w:r>
          <w:rPr>
            <w:lang w:val="es_ES" w:bidi="es_ES"/>
          </w:rPr>
          <w:rPr>
            <w:color w:val="0000EE"/>
            <w:u w:val="single"/>
          </w:rPr>
          <w:t>1.23</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82">
        <w:r>
          <w:rPr>
            <w:lang w:val="es_ES" w:bidi="es_ES"/>
          </w:rPr>
          <w:rPr>
            <w:color w:val="0000EE"/>
            <w:u w:val="single"/>
          </w:rPr>
          <w:t>6.45</w:t>
        </w:r>
      </w:hyperlink>
      <w:r>
        <w:rPr>
          <w:lang w:val="es_ES" w:bidi="es_ES"/>
        </w:rPr>
        <w:t xml:space="preserve">). Él usa el presente griego en la narrativa, en lugar de un pretérito simple, para dar una sensación de inmediatez (por ejemplo, </w:t>
      </w:r>
      <w:hyperlink r:id="rId83">
        <w:r>
          <w:rPr>
            <w:lang w:val="es_ES" w:bidi="es_ES"/>
          </w:rPr>
          <w:rPr>
            <w:color w:val="0000EE"/>
            <w:u w:val="single"/>
          </w:rPr>
          <w:t>1.12</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38</w:t>
        </w:r>
      </w:hyperlink>
      <w:r>
        <w:rPr>
          <w:lang w:val="es_ES" w:bidi="es_ES"/>
        </w:rPr>
        <w:t xml:space="preserve">, </w:t>
      </w:r>
      <w:hyperlink r:id="rId86">
        <w:r>
          <w:rPr>
            <w:lang w:val="es_ES" w:bidi="es_ES"/>
          </w:rPr>
          <w:rPr>
            <w:color w:val="0000EE"/>
            <w:u w:val="single"/>
          </w:rPr>
          <w:t>40</w:t>
        </w:r>
      </w:hyperlink>
      <w:r>
        <w:rPr>
          <w:lang w:val="es_ES" w:bidi="es_ES"/>
        </w:rPr>
        <w:t xml:space="preserve">, </w:t>
      </w:r>
      <w:hyperlink r:id="rId87">
        <w:r>
          <w:rPr>
            <w:lang w:val="es_ES" w:bidi="es_ES"/>
          </w:rPr>
          <w:rPr>
            <w:color w:val="0000EE"/>
            <w:u w:val="single"/>
          </w:rPr>
          <w:t>44</w:t>
        </w:r>
      </w:hyperlink>
      <w:r>
        <w:rPr>
          <w:lang w:val="es_ES" w:bidi="es_ES"/>
        </w:rPr>
        <w:t xml:space="preserve">; </w:t>
      </w:r>
      <w:hyperlink r:id="rId88">
        <w:r>
          <w:rPr>
            <w:lang w:val="es_ES" w:bidi="es_ES"/>
          </w:rPr>
          <w:rPr>
            <w:color w:val="0000EE"/>
            <w:u w:val="single"/>
          </w:rPr>
          <w:t>2.3</w:t>
        </w:r>
      </w:hyperlink>
      <w:r>
        <w:rPr>
          <w:lang w:val="es_ES" w:bidi="es_ES"/>
        </w:rPr>
        <w:t xml:space="preserve">; </w:t>
      </w:r>
      <w:hyperlink r:id="rId89">
        <w:r>
          <w:rPr>
            <w:lang w:val="es_ES" w:bidi="es_ES"/>
          </w:rPr>
          <w:rPr>
            <w:color w:val="0000EE"/>
            <w:u w:val="single"/>
          </w:rPr>
          <w:t>3.13</w:t>
        </w:r>
      </w:hyperlink>
      <w:r>
        <w:rPr>
          <w:lang w:val="es_ES" w:bidi="es_ES"/>
        </w:rPr>
        <w:t xml:space="preserve">). Marcos también a menudo intercala una historia dentro de otra (por ejemplo, </w:t>
      </w:r>
      <w:hyperlink r:id="rId90">
        <w:r>
          <w:rPr>
            <w:lang w:val="es_ES" w:bidi="es_ES"/>
          </w:rPr>
          <w:rPr>
            <w:color w:val="0000EE"/>
            <w:u w:val="single"/>
          </w:rPr>
          <w:t>3.22–30</w:t>
        </w:r>
      </w:hyperlink>
      <w:r>
        <w:rPr>
          <w:lang w:val="es_ES" w:bidi="es_ES"/>
        </w:rPr>
        <w:t xml:space="preserve"> en </w:t>
      </w:r>
      <w:hyperlink r:id="rId91">
        <w:r>
          <w:rPr>
            <w:lang w:val="es_ES" w:bidi="es_ES"/>
          </w:rPr>
          <w:rPr>
            <w:color w:val="0000EE"/>
            <w:u w:val="single"/>
          </w:rPr>
          <w:t>3.20–21</w:t>
        </w:r>
      </w:hyperlink>
      <w:r>
        <w:rPr>
          <w:lang w:val="es_ES" w:bidi="es_ES"/>
        </w:rPr>
        <w:t xml:space="preserve">, </w:t>
      </w:r>
      <w:hyperlink r:id="rId92">
        <w:r>
          <w:rPr>
            <w:lang w:val="es_ES" w:bidi="es_ES"/>
          </w:rPr>
          <w:rPr>
            <w:color w:val="0000EE"/>
            <w:u w:val="single"/>
          </w:rPr>
          <w:t>31–35</w:t>
        </w:r>
      </w:hyperlink>
      <w:r>
        <w:rPr>
          <w:lang w:val="es_ES" w:bidi="es_ES"/>
        </w:rPr>
        <w:t xml:space="preserve">; </w:t>
      </w:r>
      <w:hyperlink r:id="rId93">
        <w:r>
          <w:rPr>
            <w:lang w:val="es_ES" w:bidi="es_ES"/>
          </w:rPr>
          <w:rPr>
            <w:color w:val="0000EE"/>
            <w:u w:val="single"/>
          </w:rPr>
          <w:t>5.25–34</w:t>
        </w:r>
      </w:hyperlink>
      <w:r>
        <w:rPr>
          <w:lang w:val="es_ES" w:bidi="es_ES"/>
        </w:rPr>
        <w:t xml:space="preserve"> en </w:t>
      </w:r>
      <w:hyperlink r:id="rId94">
        <w:r>
          <w:rPr>
            <w:lang w:val="es_ES" w:bidi="es_ES"/>
          </w:rPr>
          <w:rPr>
            <w:color w:val="0000EE"/>
            <w:u w:val="single"/>
          </w:rPr>
          <w:t>5.21–24</w:t>
        </w:r>
      </w:hyperlink>
      <w:r>
        <w:rPr>
          <w:lang w:val="es_ES" w:bidi="es_ES"/>
        </w:rPr>
        <w:t xml:space="preserve">, </w:t>
      </w:r>
      <w:hyperlink r:id="rId95">
        <w:r>
          <w:rPr>
            <w:lang w:val="es_ES" w:bidi="es_ES"/>
          </w:rPr>
          <w:rPr>
            <w:color w:val="0000EE"/>
            <w:u w:val="single"/>
          </w:rPr>
          <w:t>35–43</w:t>
        </w:r>
      </w:hyperlink>
      <w:r>
        <w:rPr>
          <w:lang w:val="es_ES" w:bidi="es_ES"/>
        </w:rPr>
        <w:t xml:space="preserve">; </w:t>
      </w:r>
      <w:hyperlink r:id="rId96">
        <w:r>
          <w:rPr>
            <w:lang w:val="es_ES" w:bidi="es_ES"/>
          </w:rPr>
          <w:rPr>
            <w:color w:val="0000EE"/>
            <w:u w:val="single"/>
          </w:rPr>
          <w:t>11.15–19</w:t>
        </w:r>
      </w:hyperlink>
      <w:r>
        <w:rPr>
          <w:lang w:val="es_ES" w:bidi="es_ES"/>
        </w:rPr>
        <w:t xml:space="preserve"> en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en el último ejemplo, esta alternancia indica que la parte del medio (</w:t>
      </w:r>
      <w:hyperlink r:id="rId96">
        <w:r>
          <w:rPr>
            <w:lang w:val="es_ES" w:bidi="es_ES"/>
          </w:rPr>
          <w:rPr>
            <w:color w:val="0000EE"/>
            <w:u w:val="single"/>
          </w:rPr>
          <w:t>11.15–19</w:t>
        </w:r>
      </w:hyperlink>
      <w:r>
        <w:rPr>
          <w:lang w:val="es_ES" w:bidi="es_ES"/>
        </w:rPr>
        <w:t>, la purificación del templo) debe entenderse a la luz de la historia que la rodea (</w:t>
      </w:r>
      <w:hyperlink r:id="rId97">
        <w:r>
          <w:rPr>
            <w:lang w:val="es_ES" w:bidi="es_ES"/>
          </w:rPr>
          <w:rPr>
            <w:color w:val="0000EE"/>
            <w:u w:val="single"/>
          </w:rPr>
          <w:t>11.12–14</w:t>
        </w:r>
      </w:hyperlink>
      <w:r>
        <w:rPr>
          <w:lang w:val="es_ES" w:bidi="es_ES"/>
        </w:rPr>
        <w:t xml:space="preserve">, </w:t>
      </w:r>
      <w:hyperlink r:id="rId98">
        <w:r>
          <w:rPr>
            <w:lang w:val="es_ES" w:bidi="es_ES"/>
          </w:rPr>
          <w:rPr>
            <w:color w:val="0000EE"/>
            <w:u w:val="single"/>
          </w:rPr>
          <w:t>20–26</w:t>
        </w:r>
      </w:hyperlink>
      <w:r>
        <w:rPr>
          <w:lang w:val="es_ES" w:bidi="es_ES"/>
        </w:rPr>
        <w:t xml:space="preserve">, la maldición de la higuera) —la purificación del templo fue un acto simbólico de juicio (cp. </w:t>
      </w:r>
      <w:hyperlink r:id="rId99">
        <w:r>
          <w:rPr>
            <w:lang w:val="es_ES" w:bidi="es_ES"/>
          </w:rPr>
          <w:rPr>
            <w:color w:val="0000EE"/>
            <w:u w:val="single"/>
          </w:rPr>
          <w:t>13.3–37</w:t>
        </w:r>
      </w:hyperlink>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hyperlink r:id="rId76">
        <w:r>
          <w:rPr>
            <w:lang w:val="es_ES" w:bidi="es_ES"/>
          </w:rPr>
          <w:rPr>
            <w:color w:val="0000EE"/>
            <w:u w:val="single"/>
          </w:rPr>
          <w:t>1.34</w:t>
        </w:r>
      </w:hyperlink>
      <w:r>
        <w:rPr>
          <w:lang w:val="es_ES" w:bidi="es_ES"/>
        </w:rPr>
        <w:t xml:space="preserve">; </w:t>
      </w:r>
      <w:hyperlink r:id="rId100">
        <w:r>
          <w:rPr>
            <w:lang w:val="es_ES" w:bidi="es_ES"/>
          </w:rPr>
          <w:rPr>
            <w:color w:val="0000EE"/>
            <w:u w:val="single"/>
          </w:rPr>
          <w:t>3.11</w:t>
        </w:r>
      </w:hyperlink>
      <w:r>
        <w:rPr>
          <w:lang w:val="es_ES" w:bidi="es_ES"/>
        </w:rPr>
        <w:t xml:space="preserve">; </w:t>
      </w:r>
      <w:hyperlink r:id="rId101">
        <w:r>
          <w:rPr>
            <w:lang w:val="es_ES" w:bidi="es_ES"/>
          </w:rPr>
          <w:rPr>
            <w:color w:val="0000EE"/>
            <w:u w:val="single"/>
          </w:rPr>
          <w:t>5.7</w:t>
        </w:r>
      </w:hyperlink>
      <w:r>
        <w:rPr>
          <w:lang w:val="es_ES" w:bidi="es_ES"/>
        </w:rPr>
        <w:t xml:space="preserve">; cp. </w:t>
      </w:r>
      <w:hyperlink r:id="rId102">
        <w:r>
          <w:rPr>
            <w:lang w:val="es_ES" w:bidi="es_ES"/>
          </w:rPr>
          <w:rPr>
            <w:color w:val="0000EE"/>
            <w:u w:val="single"/>
          </w:rPr>
          <w:t>1.24</w:t>
        </w:r>
      </w:hyperlink>
      <w:r>
        <w:rPr>
          <w:lang w:val="es_ES" w:bidi="es_ES"/>
        </w:rPr>
        <w:t>); Dios mismo (</w:t>
      </w:r>
      <w:hyperlink r:id="rId103">
        <w:r>
          <w:rPr>
            <w:lang w:val="es_ES" w:bidi="es_ES"/>
          </w:rPr>
          <w:rPr>
            <w:color w:val="0000EE"/>
            <w:u w:val="single"/>
          </w:rPr>
          <w:t>1.11</w:t>
        </w:r>
      </w:hyperlink>
      <w:r>
        <w:rPr>
          <w:lang w:val="es_ES" w:bidi="es_ES"/>
        </w:rPr>
        <w:t xml:space="preserve">; </w:t>
      </w:r>
      <w:hyperlink r:id="rId104">
        <w:r>
          <w:rPr>
            <w:lang w:val="es_ES" w:bidi="es_ES"/>
          </w:rPr>
          <w:rPr>
            <w:color w:val="0000EE"/>
            <w:u w:val="single"/>
          </w:rPr>
          <w:t>9.7</w:t>
        </w:r>
      </w:hyperlink>
      <w:r>
        <w:rPr>
          <w:lang w:val="es_ES" w:bidi="es_ES"/>
        </w:rPr>
        <w:t>); Marcos, el autor (</w:t>
      </w:r>
      <w:hyperlink r:id="rId13">
        <w:r>
          <w:rPr>
            <w:lang w:val="es_ES" w:bidi="es_ES"/>
          </w:rPr>
          <w:rPr>
            <w:color w:val="0000EE"/>
            <w:u w:val="single"/>
          </w:rPr>
          <w:t>1.1</w:t>
        </w:r>
      </w:hyperlink>
      <w:r>
        <w:rPr>
          <w:lang w:val="es_ES" w:bidi="es_ES"/>
        </w:rPr>
        <w:t>); un centurión romano (</w:t>
      </w:r>
      <w:hyperlink r:id="rId61">
        <w:r>
          <w:rPr>
            <w:lang w:val="es_ES" w:bidi="es_ES"/>
          </w:rPr>
          <w:rPr>
            <w:color w:val="0000EE"/>
            <w:u w:val="single"/>
          </w:rPr>
          <w:t>15.39</w:t>
        </w:r>
      </w:hyperlink>
      <w:r>
        <w:rPr>
          <w:lang w:val="es_ES" w:bidi="es_ES"/>
        </w:rPr>
        <w:t>); y Jesús mismo (</w:t>
      </w:r>
      <w:hyperlink r:id="rId105">
        <w:r>
          <w:rPr>
            <w:lang w:val="es_ES" w:bidi="es_ES"/>
          </w:rPr>
          <w:rPr>
            <w:color w:val="0000EE"/>
            <w:u w:val="single"/>
          </w:rPr>
          <w:t>12.6</w:t>
        </w:r>
      </w:hyperlink>
      <w:r>
        <w:rPr>
          <w:lang w:val="es_ES" w:bidi="es_ES"/>
        </w:rPr>
        <w:t xml:space="preserve">; </w:t>
      </w:r>
      <w:hyperlink r:id="rId106">
        <w:r>
          <w:rPr>
            <w:lang w:val="es_ES" w:bidi="es_ES"/>
          </w:rPr>
          <w:rPr>
            <w:color w:val="0000EE"/>
            <w:u w:val="single"/>
          </w:rPr>
          <w:t>13.32</w:t>
        </w:r>
      </w:hyperlink>
      <w:r>
        <w:rPr>
          <w:lang w:val="es_ES" w:bidi="es_ES"/>
        </w:rPr>
        <w:t xml:space="preserve">; </w:t>
      </w:r>
      <w:hyperlink r:id="rId107">
        <w:r>
          <w:rPr>
            <w:lang w:val="es_ES" w:bidi="es_ES"/>
          </w:rPr>
          <w:rPr>
            <w:color w:val="0000EE"/>
            <w:u w:val="single"/>
          </w:rPr>
          <w:t>14.61–62</w:t>
        </w:r>
      </w:hyperlink>
      <w:r>
        <w:rPr>
          <w:lang w:val="es_ES" w:bidi="es_ES"/>
        </w:rPr>
        <w:t xml:space="preserve">). Otros títulos para Jesús aparecen en el evangelio de Marcos, incluyendo el favorito de Jesús, "Hijo del Hombre" (por ejemplo, </w:t>
      </w:r>
      <w:hyperlink r:id="rId108">
        <w:r>
          <w:rPr>
            <w:lang w:val="es_ES" w:bidi="es_ES"/>
          </w:rPr>
          <w:rPr>
            <w:color w:val="0000EE"/>
            <w:u w:val="single"/>
          </w:rPr>
          <w:t>2.10</w:t>
        </w:r>
      </w:hyperlink>
      <w:r>
        <w:rPr>
          <w:lang w:val="es_ES" w:bidi="es_ES"/>
        </w:rPr>
        <w:t xml:space="preserve">). Pero en el Evangelio de Marcos todos estos títulos, así como sus acciones (por ejemplo, </w:t>
      </w:r>
      <w:hyperlink r:id="rId109">
        <w:r>
          <w:rPr>
            <w:lang w:val="es_ES" w:bidi="es_ES"/>
          </w:rPr>
          <w:rPr>
            <w:color w:val="0000EE"/>
            <w:u w:val="single"/>
          </w:rPr>
          <w:t>1.22</w:t>
        </w:r>
      </w:hyperlink>
      <w:r>
        <w:rPr>
          <w:lang w:val="es_ES" w:bidi="es_ES"/>
        </w:rPr>
        <w:t xml:space="preserve">; </w:t>
      </w:r>
      <w:hyperlink r:id="rId110">
        <w:r>
          <w:rPr>
            <w:lang w:val="es_ES" w:bidi="es_ES"/>
          </w:rPr>
          <w:rPr>
            <w:color w:val="0000EE"/>
            <w:u w:val="single"/>
          </w:rPr>
          <w:t>4.41</w:t>
        </w:r>
      </w:hyperlink>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hyperlink r:id="rId111">
        <w:r>
          <w:rPr>
            <w:lang w:val="es_ES" w:bidi="es_ES"/>
          </w:rPr>
          <w:rPr>
            <w:color w:val="0000EE"/>
            <w:u w:val="single"/>
          </w:rPr>
          <w:t>2.19–20</w:t>
        </w:r>
      </w:hyperlink>
      <w:r>
        <w:rPr>
          <w:lang w:val="es_ES" w:bidi="es_ES"/>
        </w:rPr>
        <w:t xml:space="preserve">; </w:t>
      </w:r>
      <w:hyperlink r:id="rId81">
        <w:r>
          <w:rPr>
            <w:lang w:val="es_ES" w:bidi="es_ES"/>
          </w:rPr>
          <w:rPr>
            <w:color w:val="0000EE"/>
            <w:u w:val="single"/>
          </w:rPr>
          <w:t>3.6</w:t>
        </w:r>
      </w:hyperlink>
      <w:r>
        <w:rPr>
          <w:lang w:val="es_ES" w:bidi="es_ES"/>
        </w:rPr>
        <w:t xml:space="preserve">; </w:t>
      </w:r>
      <w:hyperlink r:id="rId33">
        <w:r>
          <w:rPr>
            <w:lang w:val="es_ES" w:bidi="es_ES"/>
          </w:rPr>
          <w:rPr>
            <w:color w:val="0000EE"/>
            <w:u w:val="single"/>
          </w:rPr>
          <w:t>8.31</w:t>
        </w:r>
      </w:hyperlink>
      <w:r>
        <w:rPr>
          <w:lang w:val="es_ES" w:bidi="es_ES"/>
        </w:rPr>
        <w:t xml:space="preserve">; </w:t>
      </w:r>
      <w:hyperlink r:id="rId112">
        <w:r>
          <w:rPr>
            <w:lang w:val="es_ES" w:bidi="es_ES"/>
          </w:rPr>
          <w:rPr>
            <w:color w:val="0000EE"/>
            <w:u w:val="single"/>
          </w:rPr>
          <w:t>9.9</w:t>
        </w:r>
      </w:hyperlink>
      <w:r>
        <w:rPr>
          <w:lang w:val="es_ES" w:bidi="es_ES"/>
        </w:rPr>
        <w:t xml:space="preserve">, </w:t>
      </w:r>
      <w:hyperlink r:id="rId113">
        <w:r>
          <w:rPr>
            <w:lang w:val="es_ES" w:bidi="es_ES"/>
          </w:rPr>
          <w:rPr>
            <w:color w:val="0000EE"/>
            <w:u w:val="single"/>
          </w:rPr>
          <w:t>12</w:t>
        </w:r>
      </w:hyperlink>
      <w:r>
        <w:rPr>
          <w:lang w:val="es_ES" w:bidi="es_ES"/>
        </w:rPr>
        <w:t xml:space="preserve">, </w:t>
      </w:r>
      <w:hyperlink r:id="rId114">
        <w:r>
          <w:rPr>
            <w:lang w:val="es_ES" w:bidi="es_ES"/>
          </w:rPr>
          <w:rPr>
            <w:color w:val="0000EE"/>
            <w:u w:val="single"/>
          </w:rPr>
          <w:t>31</w:t>
        </w:r>
      </w:hyperlink>
      <w:r>
        <w:rPr>
          <w:lang w:val="es_ES" w:bidi="es_ES"/>
        </w:rPr>
        <w:t xml:space="preserve">; </w:t>
      </w:r>
      <w:hyperlink r:id="rId115">
        <w:r>
          <w:rPr>
            <w:lang w:val="es_ES" w:bidi="es_ES"/>
          </w:rPr>
          <w:rPr>
            <w:color w:val="0000EE"/>
            <w:u w:val="single"/>
          </w:rPr>
          <w:t>10.33–34</w:t>
        </w:r>
      </w:hyperlink>
      <w:r>
        <w:rPr>
          <w:lang w:val="es_ES" w:bidi="es_ES"/>
        </w:rPr>
        <w:t xml:space="preserve">, </w:t>
      </w:r>
      <w:hyperlink r:id="rId116">
        <w:r>
          <w:rPr>
            <w:lang w:val="es_ES" w:bidi="es_ES"/>
          </w:rPr>
          <w:rPr>
            <w:color w:val="0000EE"/>
            <w:u w:val="single"/>
          </w:rPr>
          <w:t>45</w:t>
        </w:r>
      </w:hyperlink>
      <w:r>
        <w:rPr>
          <w:lang w:val="es_ES" w:bidi="es_ES"/>
        </w:rPr>
        <w:t xml:space="preserve">; </w:t>
      </w:r>
      <w:hyperlink r:id="rId117">
        <w:r>
          <w:rPr>
            <w:lang w:val="es_ES" w:bidi="es_ES"/>
          </w:rPr>
          <w:rPr>
            <w:color w:val="0000EE"/>
            <w:u w:val="single"/>
          </w:rPr>
          <w:t>12.1–11</w:t>
        </w:r>
      </w:hyperlink>
      <w:r>
        <w:rPr>
          <w:lang w:val="es_ES" w:bidi="es_ES"/>
        </w:rPr>
        <w:t xml:space="preserve">; </w:t>
      </w:r>
      <w:hyperlink r:id="rId118">
        <w:r>
          <w:rPr>
            <w:lang w:val="es_ES" w:bidi="es_ES"/>
          </w:rPr>
          <w:rPr>
            <w:color w:val="0000EE"/>
            <w:u w:val="single"/>
          </w:rPr>
          <w:t>14.1–11</w:t>
        </w:r>
      </w:hyperlink>
      <w:r>
        <w:rPr>
          <w:lang w:val="es_ES" w:bidi="es_ES"/>
        </w:rPr>
        <w:t xml:space="preserve">, </w:t>
      </w:r>
      <w:hyperlink r:id="rId119">
        <w:r>
          <w:rPr>
            <w:lang w:val="es_ES" w:bidi="es_ES"/>
          </w:rPr>
          <w:rPr>
            <w:color w:val="0000EE"/>
            <w:u w:val="single"/>
          </w:rPr>
          <w:t>21</w:t>
        </w:r>
      </w:hyperlink>
      <w:r>
        <w:rPr>
          <w:lang w:val="es_ES" w:bidi="es_ES"/>
        </w:rPr>
        <w:t xml:space="preserve">, </w:t>
      </w:r>
      <w:hyperlink r:id="rId120">
        <w:r>
          <w:rPr>
            <w:lang w:val="es_ES" w:bidi="es_ES"/>
          </w:rPr>
          <w:rPr>
            <w:color w:val="0000EE"/>
            <w:u w:val="single"/>
          </w:rPr>
          <w:t>24–25</w:t>
        </w:r>
      </w:hyperlink>
      <w:r>
        <w:rPr>
          <w:lang w:val="es_ES" w:bidi="es_ES"/>
        </w:rPr>
        <w:t xml:space="preserve">, </w:t>
      </w:r>
      <w:hyperlink r:id="rId121">
        <w:r>
          <w:rPr>
            <w:lang w:val="es_ES" w:bidi="es_ES"/>
          </w:rPr>
          <w:rPr>
            <w:color w:val="0000EE"/>
            <w:u w:val="single"/>
          </w:rPr>
          <w:t>36</w:t>
        </w:r>
      </w:hyperlink>
      <w:r>
        <w:rPr>
          <w:lang w:val="es_ES" w:bidi="es_ES"/>
        </w:rPr>
        <w:t xml:space="preserve">, </w:t>
      </w:r>
      <w:hyperlink r:id="rId122">
        <w:r>
          <w:rPr>
            <w:lang w:val="es_ES" w:bidi="es_ES"/>
          </w:rPr>
          <w:rPr>
            <w:color w:val="0000EE"/>
            <w:u w:val="single"/>
          </w:rPr>
          <w:t>14.64–15.47</w:t>
        </w:r>
      </w:hyperlink>
      <w:r>
        <w:rPr>
          <w:lang w:val="es_ES" w:bidi="es_ES"/>
        </w:rPr>
        <w:t>). Marcos enfatiza que la muerte de Jesús era parte del plan de Dios. Su muerte fue una necesidad divina (</w:t>
      </w:r>
      <w:hyperlink r:id="rId33">
        <w:r>
          <w:rPr>
            <w:lang w:val="es_ES" w:bidi="es_ES"/>
          </w:rPr>
          <w:rPr>
            <w:color w:val="0000EE"/>
            <w:u w:val="single"/>
          </w:rPr>
          <w:t>8.31</w:t>
        </w:r>
      </w:hyperlink>
      <w:r>
        <w:rPr>
          <w:lang w:val="es_ES" w:bidi="es_ES"/>
        </w:rPr>
        <w:t>), porque Dios lo había querido (</w:t>
      </w:r>
      <w:hyperlink r:id="rId116">
        <w:r>
          <w:rPr>
            <w:lang w:val="es_ES" w:bidi="es_ES"/>
          </w:rPr>
          <w:rPr>
            <w:color w:val="0000EE"/>
            <w:u w:val="single"/>
          </w:rPr>
          <w:t>10.45</w:t>
        </w:r>
      </w:hyperlink>
      <w:r>
        <w:rPr>
          <w:lang w:val="es_ES" w:bidi="es_ES"/>
        </w:rPr>
        <w:t xml:space="preserve">; </w:t>
      </w:r>
      <w:hyperlink r:id="rId121">
        <w:r>
          <w:rPr>
            <w:lang w:val="es_ES" w:bidi="es_ES"/>
          </w:rPr>
          <w:rPr>
            <w:color w:val="0000EE"/>
            <w:u w:val="single"/>
          </w:rPr>
          <w:t>14.36</w:t>
        </w:r>
      </w:hyperlink>
      <w:r>
        <w:rPr>
          <w:lang w:val="es_ES" w:bidi="es_ES"/>
        </w:rPr>
        <w:t xml:space="preserve">). El Antiguo Testamento también enseña sobre la muerte del Mesías (ver </w:t>
      </w:r>
      <w:hyperlink r:id="rId113">
        <w:r>
          <w:rPr>
            <w:lang w:val="es_ES" w:bidi="es_ES"/>
          </w:rPr>
          <w:rPr>
            <w:color w:val="0000EE"/>
            <w:u w:val="single"/>
          </w:rPr>
          <w:t>9.12</w:t>
        </w:r>
      </w:hyperlink>
      <w:r>
        <w:rPr>
          <w:lang w:val="es_ES" w:bidi="es_ES"/>
        </w:rPr>
        <w:t xml:space="preserve">; </w:t>
      </w:r>
      <w:hyperlink r:id="rId119">
        <w:r>
          <w:rPr>
            <w:lang w:val="es_ES" w:bidi="es_ES"/>
          </w:rPr>
          <w:rPr>
            <w:color w:val="0000EE"/>
            <w:u w:val="single"/>
          </w:rPr>
          <w:t>14.21</w:t>
        </w:r>
      </w:hyperlink>
      <w:r>
        <w:rPr>
          <w:lang w:val="es_ES" w:bidi="es_ES"/>
        </w:rPr>
        <w:t xml:space="preserve">, </w:t>
      </w:r>
      <w:hyperlink r:id="rId123">
        <w:r>
          <w:rPr>
            <w:lang w:val="es_ES" w:bidi="es_ES"/>
          </w:rPr>
          <w:rPr>
            <w:color w:val="0000EE"/>
            <w:u w:val="single"/>
          </w:rPr>
          <w:t>27</w:t>
        </w:r>
      </w:hyperlink>
      <w:r>
        <w:rPr>
          <w:lang w:val="es_ES" w:bidi="es_ES"/>
        </w:rPr>
        <w:t xml:space="preserve">, </w:t>
      </w:r>
      <w:hyperlink r:id="rId124">
        <w:r>
          <w:rPr>
            <w:lang w:val="es_ES" w:bidi="es_ES"/>
          </w:rPr>
          <w:rPr>
            <w:color w:val="0000EE"/>
            <w:u w:val="single"/>
          </w:rPr>
          <w:t>49</w:t>
        </w:r>
      </w:hyperlink>
      <w:r>
        <w:rPr>
          <w:lang w:val="es_ES" w:bidi="es_ES"/>
        </w:rPr>
        <w:t>). Jesús vino a dar su vida en rescate por muchos (</w:t>
      </w:r>
      <w:hyperlink r:id="rId116">
        <w:r>
          <w:rPr>
            <w:lang w:val="es_ES" w:bidi="es_ES"/>
          </w:rPr>
          <w:rPr>
            <w:color w:val="0000EE"/>
            <w:u w:val="single"/>
          </w:rPr>
          <w:t>10.45</w:t>
        </w:r>
      </w:hyperlink>
      <w:r>
        <w:rPr>
          <w:lang w:val="es_ES" w:bidi="es_ES"/>
        </w:rPr>
        <w:t>) y a derramar su sangre como sacrificio para establecer un nuevo pacto (</w:t>
      </w:r>
      <w:hyperlink r:id="rId125">
        <w:r>
          <w:rPr>
            <w:lang w:val="es_ES" w:bidi="es_ES"/>
          </w:rPr>
          <w:rPr>
            <w:color w:val="0000EE"/>
            <w:u w:val="single"/>
          </w:rPr>
          <w:t>14.24</w:t>
        </w:r>
      </w:hyperlink>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hyperlink r:id="rId126">
        <w:r>
          <w:rPr>
            <w:lang w:val="es_ES" w:bidi="es_ES"/>
          </w:rPr>
          <w:rPr>
            <w:color w:val="0000EE"/>
            <w:u w:val="single"/>
          </w:rPr>
          <w:t>8.34</w:t>
        </w:r>
      </w:hyperlink>
      <w:r>
        <w:rPr>
          <w:lang w:val="es_ES" w:bidi="es_ES"/>
        </w:rPr>
        <w:t>). Ser discípulo de Cristo no permite una respuesta a medias, sino que requiere dejar todo para seguir a Jesús (</w:t>
      </w:r>
      <w:hyperlink r:id="rId127">
        <w:r>
          <w:rPr>
            <w:lang w:val="es_ES" w:bidi="es_ES"/>
          </w:rPr>
          <w:rPr>
            <w:color w:val="0000EE"/>
            <w:u w:val="single"/>
          </w:rPr>
          <w:t>1.18</w:t>
        </w:r>
      </w:hyperlink>
      <w:r>
        <w:rPr>
          <w:lang w:val="es_ES" w:bidi="es_ES"/>
        </w:rPr>
        <w:t xml:space="preserve">, </w:t>
      </w:r>
      <w:hyperlink r:id="rId128">
        <w:r>
          <w:rPr>
            <w:lang w:val="es_ES" w:bidi="es_ES"/>
          </w:rPr>
          <w:rPr>
            <w:color w:val="0000EE"/>
            <w:u w:val="single"/>
          </w:rPr>
          <w:t>20</w:t>
        </w:r>
      </w:hyperlink>
      <w:r>
        <w:rPr>
          <w:lang w:val="es_ES" w:bidi="es_ES"/>
        </w:rPr>
        <w:t xml:space="preserve">; </w:t>
      </w:r>
      <w:hyperlink r:id="rId129">
        <w:r>
          <w:rPr>
            <w:lang w:val="es_ES" w:bidi="es_ES"/>
          </w:rPr>
          <w:rPr>
            <w:color w:val="0000EE"/>
            <w:u w:val="single"/>
          </w:rPr>
          <w:t>10.21</w:t>
        </w:r>
      </w:hyperlink>
      <w:r>
        <w:rPr>
          <w:lang w:val="es_ES" w:bidi="es_ES"/>
        </w:rPr>
        <w:t xml:space="preserve">, </w:t>
      </w:r>
      <w:hyperlink r:id="rId130">
        <w:r>
          <w:rPr>
            <w:lang w:val="es_ES" w:bidi="es_ES"/>
          </w:rPr>
          <w:rPr>
            <w:color w:val="0000EE"/>
            <w:u w:val="single"/>
          </w:rPr>
          <w:t>29</w:t>
        </w:r>
      </w:hyperlink>
      <w:r>
        <w:rPr>
          <w:lang w:val="es_ES" w:bidi="es_ES"/>
        </w:rPr>
        <w:t>). El discipulado cristiano podría incluso traer persecución y martirio (</w:t>
      </w:r>
      <w:hyperlink r:id="rId52">
        <w:r>
          <w:rPr>
            <w:lang w:val="es_ES" w:bidi="es_ES"/>
          </w:rPr>
          <w:rPr>
            <w:color w:val="0000EE"/>
            <w:u w:val="single"/>
          </w:rPr>
          <w:t>13.9–13</w:t>
        </w:r>
      </w:hyperlink>
      <w:r>
        <w:rPr>
          <w:lang w:val="es_ES" w:bidi="es_ES"/>
        </w:rPr>
        <w:t>a), pero a los cristianos se les promete que la perseverancia en la fe significa salvación (</w:t>
      </w:r>
      <w:hyperlink r:id="rId131">
        <w:r>
          <w:rPr>
            <w:lang w:val="es_ES" w:bidi="es_ES"/>
          </w:rPr>
          <w:rPr>
            <w:color w:val="0000EE"/>
            <w:u w:val="single"/>
          </w:rPr>
          <w:t>13.13</w:t>
        </w:r>
      </w:hyperlink>
      <w:r>
        <w:rPr>
          <w:lang w:val="es_ES" w:bidi="es_ES"/>
        </w:rPr>
        <w:t>) y vida eterna (</w:t>
      </w:r>
      <w:hyperlink r:id="rId51">
        <w:r>
          <w:rPr>
            <w:lang w:val="es_ES" w:bidi="es_ES"/>
          </w:rPr>
          <w:rPr>
            <w:color w:val="0000EE"/>
            <w:u w:val="single"/>
          </w:rPr>
          <w:t>10.30</w:t>
        </w:r>
      </w:hyperlink>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hyperlink r:id="rId132">
        <w:r>
          <w:rPr>
            <w:lang w:val="es_ES" w:bidi="es_ES"/>
          </w:rPr>
          <w:rPr>
            <w:color w:val="0000EE"/>
            <w:u w:val="single"/>
          </w:rPr>
          <w:t>7.36</w:t>
        </w:r>
      </w:hyperlink>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hyperlink r:id="rId75">
        <w:r>
          <w:rPr>
            <w:lang w:val="es_ES" w:bidi="es_ES"/>
          </w:rPr>
          <w:rPr>
            <w:color w:val="0000EE"/>
            <w:u w:val="single"/>
          </w:rPr>
          <w:t>1.14–15</w:t>
        </w:r>
      </w:hyperlink>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