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hyperlink r:id="rId13">
        <w:r>
          <w:rPr>
            <w:lang w:val="sw_KE" w:bidi="sw_KE"/>
          </w:rPr>
          <w:rPr>
            <w:color w:val="0000EE"/>
            <w:u w:val="single"/>
          </w:rPr>
          <w:t>1:7</w:t>
        </w:r>
      </w:hyperlink>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4">
        <w:r>
          <w:rPr>
            <w:lang w:val="sw_KE" w:bidi="sw_KE"/>
          </w:rPr>
          <w:rPr>
            <w:color w:val="0000EE"/>
            <w:u w:val="single"/>
          </w:rPr>
          <w:t>Matendo 19:10</w:t>
        </w:r>
      </w:hyperlink>
      <w:r>
        <w:rPr>
          <w:lang w:val="sw_KE" w:bidi="sw_KE"/>
        </w:rPr>
        <w:t>). Ingawa Paulo hakuwa ametembelea Kolosai (</w:t>
      </w:r>
      <w:hyperlink r:id="rId15">
        <w:r>
          <w:rPr>
            <w:lang w:val="sw_KE" w:bidi="sw_KE"/>
          </w:rPr>
          <w:rPr>
            <w:color w:val="0000EE"/>
            <w:u w:val="single"/>
          </w:rPr>
          <w:t>Kol 2:1</w:t>
        </w:r>
      </w:hyperlink>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hyperlink r:id="rId16">
        <w:r>
          <w:rPr>
            <w:lang w:val="sw_KE" w:bidi="sw_KE"/>
          </w:rPr>
          <w:rPr>
            <w:color w:val="0000EE"/>
            <w:u w:val="single"/>
          </w:rPr>
          <w:t>4:12</w:t>
        </w:r>
      </w:hyperlink>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hyperlink r:id="rId17">
        <w:r>
          <w:rPr>
            <w:lang w:val="sw_KE" w:bidi="sw_KE"/>
          </w:rPr>
          <w:rPr>
            <w:color w:val="0000EE"/>
            <w:u w:val="single"/>
          </w:rPr>
          <w:t>2:15</w:t>
        </w:r>
      </w:hyperlink>
      <w:r>
        <w:rPr>
          <w:lang w:val="sw_KE" w:bidi="sw_KE"/>
        </w:rPr>
        <w:t>) na “nguvu za kiroho za ulimwengu huu” (</w:t>
      </w:r>
      <w:hyperlink r:id="rId18">
        <w:r>
          <w:rPr>
            <w:lang w:val="sw_KE" w:bidi="sw_KE"/>
          </w:rPr>
          <w:rPr>
            <w:color w:val="0000EE"/>
            <w:u w:val="single"/>
          </w:rPr>
          <w:t>2:8,</w:t>
        </w:r>
      </w:hyperlink>
      <w:hyperlink r:id="rId19">
        <w:r>
          <w:rPr>
            <w:lang w:val="sw_KE" w:bidi="sw_KE"/>
          </w:rPr>
          <w:rPr>
            <w:color w:val="0000EE"/>
            <w:u w:val="single"/>
          </w:rPr>
          <w:t>20</w:t>
        </w:r>
      </w:hyperlink>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hyperlink r:id="rId20">
        <w:r>
          <w:rPr>
            <w:lang w:val="sw_KE" w:bidi="sw_KE"/>
          </w:rPr>
          <w:rPr>
            <w:color w:val="0000EE"/>
            <w:u w:val="single"/>
          </w:rPr>
          <w:t>sura 1–2</w:t>
        </w:r>
      </w:hyperlink>
      <w:r>
        <w:rPr>
          <w:lang w:val="sw_KE" w:bidi="sw_KE"/>
        </w:rPr>
        <w:t xml:space="preserve"> zinazingatia theolojia na </w:t>
      </w:r>
      <w:hyperlink r:id="rId21">
        <w:r>
          <w:rPr>
            <w:lang w:val="sw_KE" w:bidi="sw_KE"/>
          </w:rPr>
          <w:rPr>
            <w:color w:val="0000EE"/>
            <w:u w:val="single"/>
          </w:rPr>
          <w:t>sura 3–4</w:t>
        </w:r>
      </w:hyperlink>
      <w:r>
        <w:rPr>
          <w:lang w:val="sw_KE" w:bidi="sw_KE"/>
        </w:rPr>
        <w:t xml:space="preserve"> zinahusu masuala ya vitendo.</w:t>
      </w:r>
    </w:p>
    <w:p>
      <w:pPr/>
      <w:r>
        <w:rPr>
          <w:lang w:val="sw_KE" w:bidi="sw_KE"/>
        </w:rPr>
      </w:r>
      <w:r>
        <w:rPr>
          <w:lang w:val="sw_KE" w:bidi="sw_KE"/>
        </w:rPr>
        <w:t>Salamu za Paulo (</w:t>
      </w:r>
      <w:hyperlink r:id="rId22">
        <w:r>
          <w:rPr>
            <w:lang w:val="sw_KE" w:bidi="sw_KE"/>
          </w:rPr>
          <w:rPr>
            <w:color w:val="0000EE"/>
            <w:u w:val="single"/>
          </w:rPr>
          <w:t>1:1–2</w:t>
        </w:r>
      </w:hyperlink>
      <w:r>
        <w:rPr>
          <w:lang w:val="sw_KE" w:bidi="sw_KE"/>
        </w:rPr>
        <w:t>) zinafuatiwa na sehemu ya shukrani (</w:t>
      </w:r>
      <w:hyperlink r:id="rId23">
        <w:r>
          <w:rPr>
            <w:lang w:val="sw_KE" w:bidi="sw_KE"/>
          </w:rPr>
          <w:rPr>
            <w:color w:val="0000EE"/>
            <w:u w:val="single"/>
          </w:rPr>
          <w:t>1:3–14</w:t>
        </w:r>
      </w:hyperlink>
      <w:r>
        <w:rPr>
          <w:lang w:val="sw_KE" w:bidi="sw_KE"/>
        </w:rPr>
        <w:t>), ambayo ni njia ya kawaida ya kufungua barua za Agano Jipya. Kisha, ili kuwasilisha hoja yake kuu ya kiteolojia, Paulo ananukuu na kurekebisha wimbo kuhusu ukuu wa Kristo (</w:t>
      </w:r>
      <w:hyperlink r:id="rId24">
        <w:r>
          <w:rPr>
            <w:lang w:val="sw_KE" w:bidi="sw_KE"/>
          </w:rPr>
          <w:rPr>
            <w:color w:val="0000EE"/>
            <w:u w:val="single"/>
          </w:rPr>
          <w:t>1:15–20</w:t>
        </w:r>
      </w:hyperlink>
      <w:r>
        <w:rPr>
          <w:lang w:val="sw_KE" w:bidi="sw_KE"/>
        </w:rPr>
        <w:t>), na baadaye anatoa matumizi ya vitendo (</w:t>
      </w:r>
      <w:hyperlink r:id="rId25">
        <w:r>
          <w:rPr>
            <w:lang w:val="sw_KE" w:bidi="sw_KE"/>
          </w:rPr>
          <w:rPr>
            <w:color w:val="0000EE"/>
            <w:u w:val="single"/>
          </w:rPr>
          <w:t>1:21–23</w:t>
        </w:r>
      </w:hyperlink>
      <w:r>
        <w:rPr>
          <w:lang w:val="sw_KE" w:bidi="sw_KE"/>
        </w:rPr>
        <w:t>) kabla ya kujadili huduma yake mwenyewe kama mtume kwa Mataifa (</w:t>
      </w:r>
      <w:hyperlink r:id="rId26">
        <w:r>
          <w:rPr>
            <w:lang w:val="sw_KE" w:bidi="sw_KE"/>
          </w:rPr>
          <w:rPr>
            <w:color w:val="0000EE"/>
            <w:u w:val="single"/>
          </w:rPr>
          <w:t>1:24–2:5</w:t>
        </w:r>
      </w:hyperlink>
      <w:r>
        <w:rPr>
          <w:lang w:val="sw_KE" w:bidi="sw_KE"/>
        </w:rPr>
        <w:t>). Anarudi kwenye hoja yake kuu, akiwahimiza Wakolosai kudumisha uaminifu wao kwa Kristo Yesu, ambaye ndiye chanzo cha maisha yao ya kiroho (</w:t>
      </w:r>
      <w:hyperlink r:id="rId27">
        <w:r>
          <w:rPr>
            <w:lang w:val="sw_KE" w:bidi="sw_KE"/>
          </w:rPr>
          <w:rPr>
            <w:color w:val="0000EE"/>
            <w:u w:val="single"/>
          </w:rPr>
          <w:t>2:6–15</w:t>
        </w:r>
      </w:hyperlink>
      <w:r>
        <w:rPr>
          <w:lang w:val="sw_KE" w:bidi="sw_KE"/>
        </w:rPr>
        <w:t>). Sehemu ya kiteolojia ya barua inahitimishwa na onyo dhidi ya kushikilia sana sheria kama njia ya kutosheka kiroho (</w:t>
      </w:r>
      <w:hyperlink r:id="rId28">
        <w:r>
          <w:rPr>
            <w:lang w:val="sw_KE" w:bidi="sw_KE"/>
          </w:rPr>
          <w:rPr>
            <w:color w:val="0000EE"/>
            <w:u w:val="single"/>
          </w:rPr>
          <w:t>2:16–23</w:t>
        </w:r>
      </w:hyperlink>
      <w:r>
        <w:rPr>
          <w:lang w:val="sw_KE" w:bidi="sw_KE"/>
        </w:rPr>
        <w:t>).</w:t>
      </w:r>
    </w:p>
    <w:p>
      <w:pPr/>
      <w:r>
        <w:rPr>
          <w:lang w:val="sw_KE" w:bidi="sw_KE"/>
        </w:rPr>
      </w:r>
      <w:r>
        <w:rPr>
          <w:lang w:val="sw_KE" w:bidi="sw_KE"/>
        </w:rPr>
        <w:t>Sehemu ya vitendo zaidi ya barua (</w:t>
      </w:r>
      <w:hyperlink r:id="rId21">
        <w:r>
          <w:rPr>
            <w:lang w:val="sw_KE" w:bidi="sw_KE"/>
          </w:rPr>
          <w:rPr>
            <w:color w:val="0000EE"/>
            <w:u w:val="single"/>
          </w:rPr>
          <w:t>sura 3–4</w:t>
        </w:r>
      </w:hyperlink>
      <w:r>
        <w:rPr>
          <w:lang w:val="sw_KE" w:bidi="sw_KE"/>
        </w:rPr>
        <w:t>) inaanza na mwito wa jumla wa kuacha dhambi na kuishi maisha mapya katika Kristo (</w:t>
      </w:r>
      <w:hyperlink r:id="rId29">
        <w:r>
          <w:rPr>
            <w:lang w:val="sw_KE" w:bidi="sw_KE"/>
          </w:rPr>
          <w:rPr>
            <w:color w:val="0000EE"/>
            <w:u w:val="single"/>
          </w:rPr>
          <w:t>3:1–11</w:t>
        </w:r>
      </w:hyperlink>
      <w:r>
        <w:rPr>
          <w:lang w:val="sw_KE" w:bidi="sw_KE"/>
        </w:rPr>
        <w:t>). Paulo anaendelea na maagizo kwa jamii ya wakristo (</w:t>
      </w:r>
      <w:hyperlink r:id="rId30">
        <w:r>
          <w:rPr>
            <w:lang w:val="sw_KE" w:bidi="sw_KE"/>
          </w:rPr>
          <w:rPr>
            <w:color w:val="0000EE"/>
            <w:u w:val="single"/>
          </w:rPr>
          <w:t>3:12–17</w:t>
        </w:r>
      </w:hyperlink>
      <w:r>
        <w:rPr>
          <w:lang w:val="sw_KE" w:bidi="sw_KE"/>
        </w:rPr>
        <w:t>) na maisha ya familia (</w:t>
      </w:r>
      <w:hyperlink r:id="rId31">
        <w:r>
          <w:rPr>
            <w:lang w:val="sw_KE" w:bidi="sw_KE"/>
          </w:rPr>
          <w:rPr>
            <w:color w:val="0000EE"/>
            <w:u w:val="single"/>
          </w:rPr>
          <w:t>3:18–4:1</w:t>
        </w:r>
      </w:hyperlink>
      <w:r>
        <w:rPr>
          <w:lang w:val="sw_KE" w:bidi="sw_KE"/>
        </w:rPr>
        <w:t>). Barua inahitimishwa na himizo la maombi (</w:t>
      </w:r>
      <w:hyperlink r:id="rId32">
        <w:r>
          <w:rPr>
            <w:lang w:val="sw_KE" w:bidi="sw_KE"/>
          </w:rPr>
          <w:rPr>
            <w:color w:val="0000EE"/>
            <w:u w:val="single"/>
          </w:rPr>
          <w:t>4:2–6</w:t>
        </w:r>
      </w:hyperlink>
      <w:r>
        <w:rPr>
          <w:lang w:val="sw_KE" w:bidi="sw_KE"/>
        </w:rPr>
        <w:t>) na maoni kuhusu wafanyakazi wenza na Wakristo wengine (</w:t>
      </w:r>
      <w:hyperlink r:id="rId33">
        <w:r>
          <w:rPr>
            <w:lang w:val="sw_KE" w:bidi="sw_KE"/>
          </w:rPr>
          <w:rPr>
            <w:color w:val="0000EE"/>
            <w:u w:val="single"/>
          </w:rPr>
          <w:t>4:7–18</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hyperlink r:id="rId34">
        <w:r>
          <w:rPr>
            <w:lang w:val="sw_KE" w:bidi="sw_KE"/>
          </w:rPr>
          <w:rPr>
            <w:color w:val="0000EE"/>
            <w:u w:val="single"/>
          </w:rPr>
          <w:t>4:18</w:t>
        </w:r>
      </w:hyperlink>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hyperlink r:id="rId35">
        <w:r>
          <w:rPr>
            <w:lang w:val="sw_KE" w:bidi="sw_KE"/>
          </w:rPr>
          <w:rPr>
            <w:color w:val="0000EE"/>
            <w:u w:val="single"/>
          </w:rPr>
          <w:t>4:9</w:t>
        </w:r>
      </w:hyperlink>
      <w:r>
        <w:rPr>
          <w:lang w:val="sw_KE" w:bidi="sw_KE"/>
        </w:rPr>
        <w:t>). Katika Wakolosai (</w:t>
      </w:r>
      <w:hyperlink r:id="rId36">
        <w:r>
          <w:rPr>
            <w:lang w:val="sw_KE" w:bidi="sw_KE"/>
          </w:rPr>
          <w:rPr>
            <w:color w:val="0000EE"/>
            <w:u w:val="single"/>
          </w:rPr>
          <w:t>4:7</w:t>
        </w:r>
      </w:hyperlink>
      <w:r>
        <w:rPr>
          <w:lang w:val="sw_KE" w:bidi="sw_KE"/>
        </w:rPr>
        <w:t>) na Waefeso (</w:t>
      </w:r>
      <w:hyperlink r:id="rId37">
        <w:r>
          <w:rPr>
            <w:lang w:val="sw_KE" w:bidi="sw_KE"/>
          </w:rPr>
          <w:rPr>
            <w:color w:val="0000EE"/>
            <w:u w:val="single"/>
          </w:rPr>
          <w:t>Eph 6:21</w:t>
        </w:r>
      </w:hyperlink>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38">
        <w:r>
          <w:rPr>
            <w:lang w:val="sw_KE" w:bidi="sw_KE"/>
          </w:rPr>
          <w:rPr>
            <w:color w:val="0000EE"/>
            <w:u w:val="single"/>
          </w:rPr>
          <w:t>2:16</w:t>
        </w:r>
      </w:hyperlink>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39">
        <w:r>
          <w:rPr>
            <w:lang w:val="sw_KE" w:bidi="sw_KE"/>
          </w:rPr>
          <w:rPr>
            <w:color w:val="0000EE"/>
            <w:u w:val="single"/>
          </w:rPr>
          <w:t>2:19</w:t>
        </w:r>
      </w:hyperlink>
      <w:r>
        <w:rPr>
          <w:lang w:val="sw_KE" w:bidi="sw_KE"/>
        </w:rPr>
        <w:t>). Walimu wa uongo walikuwa wakisisitiza sheria kutoka kwa kitu kingine zaidi ya Kristo, na hii ilimaanisha kwamba sheria hizo haziwezi kuleta manufaa ya kiroho (</w:t>
      </w:r>
      <w:hyperlink r:id="rId40">
        <w:r>
          <w:rPr>
            <w:lang w:val="sw_KE" w:bidi="sw_KE"/>
          </w:rPr>
          <w:rPr>
            <w:color w:val="0000EE"/>
            <w:u w:val="single"/>
          </w:rPr>
          <w:t>2:23</w:t>
        </w:r>
      </w:hyperlink>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hyperlink r:id="rId28">
        <w:r>
          <w:rPr>
            <w:lang w:val="sw_KE" w:bidi="sw_KE"/>
          </w:rPr>
          <w:rPr>
            <w:color w:val="0000EE"/>
            <w:u w:val="single"/>
          </w:rPr>
          <w:t>2:16–23</w:t>
        </w:r>
      </w:hyperlink>
      <w:r>
        <w:rPr>
          <w:lang w:val="sw_KE" w:bidi="sw_KE"/>
        </w:rPr>
        <w:t>). Badala yake, Wakristo wote wanapaswa kujitambulisha na Kristo katika kifo na ufufuo wake (</w:t>
      </w:r>
      <w:hyperlink r:id="rId41">
        <w:r>
          <w:rPr>
            <w:lang w:val="sw_KE" w:bidi="sw_KE"/>
          </w:rPr>
          <w:rPr>
            <w:color w:val="0000EE"/>
            <w:u w:val="single"/>
          </w:rPr>
          <w:t>2:11</w:t>
        </w:r>
      </w:hyperlink>
      <w:r>
        <w:rPr>
          <w:lang w:val="sw_KE" w:bidi="sw_KE"/>
        </w:rPr>
        <w:t xml:space="preserve">, </w:t>
      </w:r>
      <w:hyperlink r:id="rId42">
        <w:r>
          <w:rPr>
            <w:lang w:val="sw_KE" w:bidi="sw_KE"/>
          </w:rPr>
          <w:rPr>
            <w:color w:val="0000EE"/>
            <w:u w:val="single"/>
          </w:rPr>
          <w:t>19–20</w:t>
        </w:r>
      </w:hyperlink>
      <w:r>
        <w:rPr>
          <w:lang w:val="sw_KE" w:bidi="sw_KE"/>
        </w:rPr>
        <w:t xml:space="preserve">; </w:t>
      </w:r>
      <w:hyperlink r:id="rId43">
        <w:r>
          <w:rPr>
            <w:lang w:val="sw_KE" w:bidi="sw_KE"/>
          </w:rPr>
          <w:rPr>
            <w:color w:val="0000EE"/>
            <w:u w:val="single"/>
          </w:rPr>
          <w:t>3:1–4</w:t>
        </w:r>
      </w:hyperlink>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