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lang w:val="ar_AE" w:bidi="ar_AE"/>
        </w:rPr>
        <w:t>أحداث وخلفية السِفر</w:t>
      </w:r>
    </w:p>
    <w:p>
      <w:pPr>
        <w:bidi/>
      </w:pPr>
      <w:r>
        <w:rPr>
          <w:lang w:val="ar_AE" w:bidi="ar_AE"/>
        </w:rPr>
      </w:r>
      <w:r>
        <w:rPr>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hyperlink r:id="rId13">
        <w:r>
          <w:rPr>
            <w:lang w:val="ar_AE" w:bidi="ar_AE"/>
          </w:rPr>
          <w:rPr>
            <w:color w:val="0000EE"/>
            <w:u w:val="single"/>
          </w:rPr>
          <w:t>2 ملوك 14:23–24</w:t>
        </w:r>
      </w:hyperlink>
      <w:r>
        <w:rPr>
          <w:lang w:val="ar_AE" w:bidi="ar_AE"/>
        </w:rPr>
        <w:t>)، استمرت أراضيه في التوسُّع كما تنبأ يونان (</w:t>
      </w:r>
      <w:hyperlink r:id="rId14">
        <w:r>
          <w:rPr>
            <w:lang w:val="ar_AE" w:bidi="ar_AE"/>
          </w:rPr>
          <w:rPr>
            <w:color w:val="0000EE"/>
            <w:u w:val="single"/>
          </w:rPr>
          <w:t>2 ملوك 14:25</w:t>
        </w:r>
      </w:hyperlink>
      <w:r>
        <w:rPr>
          <w:lang w:val="ar_AE" w:bidi="ar_AE"/>
        </w:rPr>
        <w:t xml:space="preserve">)، حيث نمت تقريبًا لتعود إلى ما كانت عليه في أيام مجد داود وسليمان (انظر </w:t>
      </w:r>
      <w:hyperlink r:id="rId15">
        <w:r>
          <w:rPr>
            <w:lang w:val="ar_AE" w:bidi="ar_AE"/>
          </w:rPr>
          <w:rPr>
            <w:color w:val="0000EE"/>
            <w:u w:val="single"/>
          </w:rPr>
          <w:t>1 ملوك 8:65</w:t>
        </w:r>
      </w:hyperlink>
      <w:r>
        <w:rPr>
          <w:lang w:val="ar_AE" w:bidi="ar_AE"/>
        </w:rPr>
        <w:t>). كان الشعور القومي مرتفعًا خلال زمن يونان.</w:t>
      </w:r>
    </w:p>
    <w:p>
      <w:pPr>
        <w:bidi/>
      </w:pPr>
      <w:r>
        <w:rPr>
          <w:lang w:val="ar_AE" w:bidi="ar_AE"/>
        </w:rPr>
      </w:r>
      <w:r>
        <w:rPr>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hyperlink r:id="rId16">
        <w:r>
          <w:rPr>
            <w:lang w:val="ar_AE" w:bidi="ar_AE"/>
          </w:rPr>
          <w:rPr>
            <w:color w:val="0000EE"/>
            <w:u w:val="single"/>
          </w:rPr>
          <w:t>1 ملوك 17:1–22:53</w:t>
        </w:r>
      </w:hyperlink>
      <w:r>
        <w:rPr>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lang w:val="ar_AE" w:bidi="ar_AE"/>
        </w:rPr>
      </w:r>
      <w:r>
        <w:rPr>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lang w:val="ar_AE" w:bidi="ar_AE"/>
        </w:rPr>
        <w:t>الخُلاصة</w:t>
      </w:r>
    </w:p>
    <w:p>
      <w:pPr>
        <w:bidi/>
      </w:pPr>
      <w:r>
        <w:rPr>
          <w:lang w:val="ar_AE" w:bidi="ar_AE"/>
        </w:rPr>
      </w:r>
      <w:r>
        <w:rPr>
          <w:lang w:val="ar_AE" w:bidi="ar_AE"/>
        </w:rPr>
        <w:t xml:space="preserve">ينقسم سِفر يونان بوضوح إلى جزأين. يروي </w:t>
      </w:r>
      <w:hyperlink r:id="rId17">
        <w:r>
          <w:rPr>
            <w:lang w:val="ar_AE" w:bidi="ar_AE"/>
          </w:rPr>
          <w:rPr>
            <w:color w:val="0000EE"/>
            <w:u w:val="single"/>
          </w:rPr>
          <w:t>الإصحاحان 1–2</w:t>
        </w:r>
      </w:hyperlink>
      <w:r>
        <w:rPr>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hyperlink r:id="rId18">
        <w:r>
          <w:rPr>
            <w:lang w:val="ar_AE" w:bidi="ar_AE"/>
          </w:rPr>
          <w:rPr>
            <w:color w:val="0000EE"/>
            <w:u w:val="single"/>
          </w:rPr>
          <w:t>1:3</w:t>
        </w:r>
      </w:hyperlink>
      <w:r>
        <w:rPr>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hyperlink r:id="rId19">
        <w:r>
          <w:rPr>
            <w:lang w:val="ar_AE" w:bidi="ar_AE"/>
          </w:rPr>
          <w:rPr>
            <w:color w:val="0000EE"/>
            <w:u w:val="single"/>
          </w:rPr>
          <w:t>الإصحاح 2</w:t>
        </w:r>
      </w:hyperlink>
      <w:r>
        <w:rPr>
          <w:lang w:val="ar_AE" w:bidi="ar_AE"/>
        </w:rPr>
        <w:t>). بعد ثلاثة أيام وثلاث ليالٍ، لفظت السمكة يونان على اليابسة.</w:t>
      </w:r>
    </w:p>
    <w:p>
      <w:pPr>
        <w:bidi/>
      </w:pPr>
      <w:r>
        <w:rPr>
          <w:lang w:val="ar_AE" w:bidi="ar_AE"/>
        </w:rPr>
      </w:r>
      <w:r>
        <w:rPr>
          <w:lang w:val="ar_AE" w:bidi="ar_AE"/>
        </w:rPr>
        <w:t xml:space="preserve">في </w:t>
      </w:r>
      <w:hyperlink r:id="rId20">
        <w:r>
          <w:rPr>
            <w:lang w:val="ar_AE" w:bidi="ar_AE"/>
          </w:rPr>
          <w:rPr>
            <w:color w:val="0000EE"/>
            <w:u w:val="single"/>
          </w:rPr>
          <w:t>الإصحاحَيْن 3–4</w:t>
        </w:r>
      </w:hyperlink>
      <w:r>
        <w:rPr>
          <w:lang w:val="ar_AE" w:bidi="ar_AE"/>
        </w:rPr>
        <w:t>، أكد الله مرة أخرى تكليفه للنبي بالوعظ في نينوى، وهذه المرة، أطاع يونان. تاب أهل نينوى توبة جماعية عند سماع تحذيرات يونان (</w:t>
      </w:r>
      <w:hyperlink r:id="rId21">
        <w:r>
          <w:rPr>
            <w:lang w:val="ar_AE" w:bidi="ar_AE"/>
          </w:rPr>
          <w:rPr>
            <w:color w:val="0000EE"/>
            <w:u w:val="single"/>
          </w:rPr>
          <w:t>الإصحاح 3</w:t>
        </w:r>
      </w:hyperlink>
      <w:r>
        <w:rPr>
          <w:lang w:val="ar_AE" w:bidi="ar_AE"/>
        </w:rPr>
        <w:t>)، وامتنع الله عن تنفيذ الحكم الذي حذَّر يونان من قدومه (</w:t>
      </w:r>
      <w:hyperlink r:id="rId22">
        <w:r>
          <w:rPr>
            <w:lang w:val="ar_AE" w:bidi="ar_AE"/>
          </w:rPr>
          <w:rPr>
            <w:color w:val="0000EE"/>
            <w:u w:val="single"/>
          </w:rPr>
          <w:t>3:10</w:t>
        </w:r>
      </w:hyperlink>
      <w:r>
        <w:rPr>
          <w:lang w:val="ar_AE" w:bidi="ar_AE"/>
        </w:rPr>
        <w:t>). في شيء من السخرية، لم يستطع يونان قَبُول فيض رحمة الله تجاه أعداء إسرائيل. انتقل يونان من الغضب إلى اليأس (</w:t>
      </w:r>
      <w:hyperlink r:id="rId23">
        <w:r>
          <w:rPr>
            <w:lang w:val="ar_AE" w:bidi="ar_AE"/>
          </w:rPr>
          <w:rPr>
            <w:color w:val="0000EE"/>
            <w:u w:val="single"/>
          </w:rPr>
          <w:t>الإصحاح 4</w:t>
        </w:r>
      </w:hyperlink>
      <w:r>
        <w:rPr>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lang w:val="ar_AE" w:bidi="ar_AE"/>
        </w:rPr>
        <w:t>كاتب السِفر</w:t>
      </w:r>
    </w:p>
    <w:p>
      <w:pPr>
        <w:bidi/>
      </w:pPr>
      <w:r>
        <w:rPr>
          <w:lang w:val="ar_AE" w:bidi="ar_AE"/>
        </w:rPr>
      </w:r>
      <w:r>
        <w:rPr>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lang w:val="ar_AE" w:bidi="ar_AE"/>
        </w:rPr>
        <w:t>أسلوب الكتابة</w:t>
      </w:r>
    </w:p>
    <w:p>
      <w:pPr>
        <w:bidi/>
      </w:pPr>
      <w:r>
        <w:rPr>
          <w:lang w:val="ar_AE" w:bidi="ar_AE"/>
        </w:rPr>
      </w:r>
      <w:r>
        <w:rPr>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lang w:val="ar_AE" w:bidi="ar_AE"/>
        </w:rPr>
        <w:t>تاريخي</w:t>
      </w:r>
      <w:r>
        <w:rPr>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hyperlink r:id="rId24">
        <w:r>
          <w:rPr>
            <w:lang w:val="ar_AE" w:bidi="ar_AE"/>
          </w:rPr>
          <w:rPr>
            <w:color w:val="0000EE"/>
            <w:u w:val="single"/>
          </w:rPr>
          <w:t>1:1</w:t>
        </w:r>
      </w:hyperlink>
      <w:r>
        <w:rPr>
          <w:lang w:val="ar_AE" w:bidi="ar_AE"/>
        </w:rPr>
        <w:t>)، ومن الأفضل فهمه على أنه سرد تاريخي يحمل رسالة لاهوتية.</w:t>
      </w:r>
    </w:p>
    <w:p>
      <w:pPr>
        <w:pStyle w:val="Heading2"/>
        <w:bidi/>
      </w:pPr>
      <w:r>
        <w:rPr>
          <w:lang w:val="ar_AE" w:bidi="ar_AE"/>
        </w:rPr>
        <w:t>المعنى والرسالة</w:t>
      </w:r>
    </w:p>
    <w:p>
      <w:pPr>
        <w:bidi/>
      </w:pPr>
      <w:r>
        <w:rPr>
          <w:lang w:val="ar_AE" w:bidi="ar_AE"/>
        </w:rPr>
      </w:r>
      <w:r>
        <w:rPr>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hyperlink r:id="rId25">
        <w:r>
          <w:rPr>
            <w:lang w:val="ar_AE" w:bidi="ar_AE"/>
          </w:rPr>
          <w:rPr>
            <w:color w:val="0000EE"/>
            <w:u w:val="single"/>
          </w:rPr>
          <w:t>2:9</w:t>
        </w:r>
      </w:hyperlink>
      <w:r>
        <w:rPr>
          <w:lang w:val="ar_AE" w:bidi="ar_AE"/>
        </w:rPr>
        <w:t xml:space="preserve">، حرفيًا </w:t>
      </w:r>
      <w:r>
        <w:rPr>
          <w:i/>
          <w:lang w:val="ar_AE" w:bidi="ar_AE"/>
        </w:rPr>
        <w:t xml:space="preserve">الخلاص ينتمي إلى </w:t>
      </w:r>
      <w:r>
        <w:rPr>
          <w:lang w:val="ar_AE" w:bidi="ar_AE"/>
        </w:rPr>
        <w:t xml:space="preserve">الرب). الخلاص مِنحة من الرب لمن يشاء، والذين تلقوا رحمة الله يجب ألا يحاولوا تقييد تدفق رحمة الله للآخرين، حتى لأعدائهم (انظر </w:t>
      </w:r>
      <w:hyperlink r:id="rId23">
        <w:r>
          <w:rPr>
            <w:lang w:val="ar_AE" w:bidi="ar_AE"/>
          </w:rPr>
          <w:rPr>
            <w:color w:val="0000EE"/>
            <w:u w:val="single"/>
          </w:rPr>
          <w:t>الإصحاح 4</w:t>
        </w:r>
      </w:hyperlink>
      <w:r>
        <w:rPr>
          <w:lang w:val="ar_AE" w:bidi="ar_AE"/>
        </w:rPr>
        <w:t>).</w:t>
      </w:r>
    </w:p>
    <w:p>
      <w:pPr>
        <w:bidi/>
      </w:pPr>
      <w:r>
        <w:rPr>
          <w:lang w:val="ar_AE" w:bidi="ar_AE"/>
        </w:rPr>
      </w:r>
      <w:r>
        <w:rPr>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hyperlink r:id="rId26">
        <w:r>
          <w:rPr>
            <w:lang w:val="ar_AE" w:bidi="ar_AE"/>
          </w:rPr>
          <w:rPr>
            <w:color w:val="0000EE"/>
            <w:u w:val="single"/>
          </w:rPr>
          <w:t>3:4،</w:t>
        </w:r>
      </w:hyperlink>
      <w:r>
        <w:rPr>
          <w:lang w:val="ar_AE" w:bidi="ar_AE"/>
        </w:rPr>
        <w:t xml:space="preserve"> </w:t>
      </w:r>
      <w:hyperlink r:id="rId27">
        <w:r>
          <w:rPr>
            <w:lang w:val="ar_AE" w:bidi="ar_AE"/>
          </w:rPr>
          <w:rPr>
            <w:color w:val="0000EE"/>
            <w:u w:val="single"/>
          </w:rPr>
          <w:t>9</w:t>
        </w:r>
      </w:hyperlink>
      <w:r>
        <w:rPr>
          <w:lang w:val="ar_AE" w:bidi="ar_AE"/>
        </w:rPr>
        <w:t>) أو ينقذها من الحكم (</w:t>
      </w:r>
      <w:hyperlink r:id="rId22">
        <w:r>
          <w:rPr>
            <w:lang w:val="ar_AE" w:bidi="ar_AE"/>
          </w:rPr>
          <w:rPr>
            <w:color w:val="0000EE"/>
            <w:u w:val="single"/>
          </w:rPr>
          <w:t>3:10؛</w:t>
        </w:r>
      </w:hyperlink>
      <w:r>
        <w:rPr>
          <w:lang w:val="ar_AE" w:bidi="ar_AE"/>
        </w:rPr>
        <w:t xml:space="preserve"> انظر </w:t>
      </w:r>
      <w:hyperlink r:id="rId28">
        <w:r>
          <w:rPr>
            <w:lang w:val="ar_AE" w:bidi="ar_AE"/>
          </w:rPr>
          <w:rPr>
            <w:color w:val="0000EE"/>
            <w:u w:val="single"/>
          </w:rPr>
          <w:t>إرميا 18:7–10</w:t>
        </w:r>
      </w:hyperlink>
      <w:r>
        <w:rPr>
          <w:lang w:val="ar_AE" w:bidi="ar_AE"/>
        </w:rPr>
        <w:t>).</w:t>
      </w:r>
    </w:p>
    <w:p>
      <w:pPr>
        <w:bidi/>
      </w:pPr>
      <w:r>
        <w:rPr>
          <w:lang w:val="ar_AE" w:bidi="ar_AE"/>
        </w:rPr>
      </w:r>
      <w:r>
        <w:rPr>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hyperlink r:id="rId29">
        <w:r>
          <w:rPr>
            <w:lang w:val="ar_AE" w:bidi="ar_AE"/>
          </w:rPr>
          <w:rPr>
            <w:color w:val="0000EE"/>
            <w:u w:val="single"/>
          </w:rPr>
          <w:t>تكوين 12:3</w:t>
        </w:r>
      </w:hyperlink>
      <w:r>
        <w:rPr>
          <w:lang w:val="ar_AE" w:bidi="ar_AE"/>
        </w:rPr>
        <w:t>). قلب الله للأمم هو أن يتحولوا من عبادة الأوثان ليعرفوه، إله السماء الذي خلق العالَم (</w:t>
      </w:r>
      <w:hyperlink r:id="rId30">
        <w:r>
          <w:rPr>
            <w:lang w:val="ar_AE" w:bidi="ar_AE"/>
          </w:rPr>
          <w:rPr>
            <w:color w:val="0000EE"/>
            <w:u w:val="single"/>
          </w:rPr>
          <w:t>يونان 1:9؛</w:t>
        </w:r>
      </w:hyperlink>
      <w:r>
        <w:rPr>
          <w:lang w:val="ar_AE" w:bidi="ar_AE"/>
        </w:rPr>
        <w:t xml:space="preserve"> انظر </w:t>
      </w:r>
      <w:hyperlink r:id="rId31">
        <w:r>
          <w:rPr>
            <w:lang w:val="ar_AE" w:bidi="ar_AE"/>
          </w:rPr>
          <w:rPr>
            <w:color w:val="0000EE"/>
            <w:u w:val="single"/>
          </w:rPr>
          <w:t>2 بطرس 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