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3">
        <w:r>
          <w:rPr>
            <w:lang w:val="id_ID" w:bidi="id_ID"/>
          </w:rPr>
          <w:rPr>
            <w:color w:val="0000EE"/>
            <w:u w:val="single"/>
          </w:rPr>
          <w:t>Mrk. 1:1</w:t>
        </w:r>
      </w:hyperlink>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4">
        <w:r>
          <w:rPr>
            <w:lang w:val="id_ID" w:bidi="id_ID"/>
          </w:rPr>
          <w:rPr>
            <w:color w:val="0000EE"/>
            <w:u w:val="single"/>
          </w:rPr>
          <w:t>Luk. 1:2</w:t>
        </w:r>
      </w:hyperlink>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hyperlink r:id="rId15">
        <w:r>
          <w:rPr>
            <w:lang w:val="id_ID" w:bidi="id_ID"/>
          </w:rPr>
          <w:rPr>
            <w:color w:val="0000EE"/>
            <w:u w:val="single"/>
          </w:rPr>
          <w:t>Mrk. 10:1–52</w:t>
        </w:r>
      </w:hyperlink>
      <w:r>
        <w:rPr>
          <w:lang w:val="id_ID" w:bidi="id_ID"/>
        </w:rPr>
        <w:t>, Yesus dan murid-murid-Nya melakukan perjalanan dari Galilea ke Yerusalem, dan pasal-pasal terakhir kitab ini (</w:t>
      </w:r>
      <w:hyperlink r:id="rId16">
        <w:r>
          <w:rPr>
            <w:lang w:val="id_ID" w:bidi="id_ID"/>
          </w:rPr>
          <w:rPr>
            <w:color w:val="0000EE"/>
            <w:u w:val="single"/>
          </w:rPr>
          <w:t>Mrk. 11:1–16:20</w:t>
        </w:r>
      </w:hyperlink>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hyperlink r:id="rId17">
        <w:r>
          <w:rPr>
            <w:lang w:val="id_ID" w:bidi="id_ID"/>
          </w:rPr>
          <w:rPr>
            <w:color w:val="0000EE"/>
            <w:u w:val="single"/>
          </w:rPr>
          <w:t>Mrk. 1:21–45</w:t>
        </w:r>
      </w:hyperlink>
      <w:r>
        <w:rPr>
          <w:lang w:val="id_ID" w:bidi="id_ID"/>
        </w:rPr>
        <w:t xml:space="preserve">; </w:t>
      </w:r>
      <w:hyperlink r:id="rId18">
        <w:r>
          <w:rPr>
            <w:lang w:val="id_ID" w:bidi="id_ID"/>
          </w:rPr>
          <w:rPr>
            <w:color w:val="0000EE"/>
            <w:u w:val="single"/>
          </w:rPr>
          <w:t>4:35–5:43</w:t>
        </w:r>
      </w:hyperlink>
      <w:r>
        <w:rPr>
          <w:lang w:val="id_ID" w:bidi="id_ID"/>
        </w:rPr>
        <w:t>), cerita-cerita yang kontroversial (</w:t>
      </w:r>
      <w:hyperlink r:id="rId19">
        <w:r>
          <w:rPr>
            <w:lang w:val="id_ID" w:bidi="id_ID"/>
          </w:rPr>
          <w:rPr>
            <w:color w:val="0000EE"/>
            <w:u w:val="single"/>
          </w:rPr>
          <w:t>Mrk. 2:1–3:6</w:t>
        </w:r>
      </w:hyperlink>
      <w:r>
        <w:rPr>
          <w:lang w:val="id_ID" w:bidi="id_ID"/>
        </w:rPr>
        <w:t xml:space="preserve">; </w:t>
      </w:r>
      <w:hyperlink r:id="rId20">
        <w:r>
          <w:rPr>
            <w:lang w:val="id_ID" w:bidi="id_ID"/>
          </w:rPr>
          <w:rPr>
            <w:color w:val="0000EE"/>
            <w:u w:val="single"/>
          </w:rPr>
          <w:t>12:13–37</w:t>
        </w:r>
      </w:hyperlink>
      <w:r>
        <w:rPr>
          <w:lang w:val="id_ID" w:bidi="id_ID"/>
        </w:rPr>
        <w:t>), perumpamaan-perumpamaan (</w:t>
      </w:r>
      <w:hyperlink r:id="rId21">
        <w:r>
          <w:rPr>
            <w:lang w:val="id_ID" w:bidi="id_ID"/>
          </w:rPr>
          <w:rPr>
            <w:color w:val="0000EE"/>
            <w:u w:val="single"/>
          </w:rPr>
          <w:t>Mrk. 4:1–34</w:t>
        </w:r>
      </w:hyperlink>
      <w:r>
        <w:rPr>
          <w:lang w:val="id_ID" w:bidi="id_ID"/>
        </w:rPr>
        <w:t>), dan ajaran-ajaran tentang akhir zaman (</w:t>
      </w:r>
      <w:hyperlink r:id="rId22">
        <w:r>
          <w:rPr>
            <w:lang w:val="id_ID" w:bidi="id_ID"/>
          </w:rPr>
          <w:rPr>
            <w:color w:val="0000EE"/>
            <w:u w:val="single"/>
          </w:rPr>
          <w:t>Mrk. 13:5–37</w:t>
        </w:r>
      </w:hyperlink>
      <w:r>
        <w:rPr>
          <w:lang w:val="id_ID" w:bidi="id_ID"/>
        </w:rPr>
        <w:t>). Beberapa dari materi tersebut menunjukkan sebuah urutan peristiwa: pelayanan Yesus dimulai dengan baptisan-Nya (</w:t>
      </w:r>
      <w:hyperlink r:id="rId23">
        <w:r>
          <w:rPr>
            <w:lang w:val="id_ID" w:bidi="id_ID"/>
          </w:rPr>
          <w:rPr>
            <w:color w:val="0000EE"/>
            <w:u w:val="single"/>
          </w:rPr>
          <w:t>Mrk. 1:2–11</w:t>
        </w:r>
      </w:hyperlink>
      <w:r>
        <w:rPr>
          <w:lang w:val="id_ID" w:bidi="id_ID"/>
        </w:rPr>
        <w:t xml:space="preserve">; baca </w:t>
      </w:r>
      <w:hyperlink r:id="rId24">
        <w:r>
          <w:rPr>
            <w:lang w:val="id_ID" w:bidi="id_ID"/>
          </w:rPr>
          <w:rPr>
            <w:color w:val="0000EE"/>
            <w:u w:val="single"/>
          </w:rPr>
          <w:t>Kisah 1:22</w:t>
        </w:r>
      </w:hyperlink>
      <w:r>
        <w:rPr>
          <w:lang w:val="id_ID" w:bidi="id_ID"/>
        </w:rPr>
        <w:t xml:space="preserve">; </w:t>
      </w:r>
      <w:hyperlink r:id="rId25">
        <w:r>
          <w:rPr>
            <w:lang w:val="id_ID" w:bidi="id_ID"/>
          </w:rPr>
          <w:rPr>
            <w:color w:val="0000EE"/>
            <w:u w:val="single"/>
          </w:rPr>
          <w:t>10:37</w:t>
        </w:r>
      </w:hyperlink>
      <w:r>
        <w:rPr>
          <w:lang w:val="id_ID" w:bidi="id_ID"/>
        </w:rPr>
        <w:t>) pencobaan yang dialami-Nya (</w:t>
      </w:r>
      <w:hyperlink r:id="rId26">
        <w:r>
          <w:rPr>
            <w:lang w:val="id_ID" w:bidi="id_ID"/>
          </w:rPr>
          <w:rPr>
            <w:color w:val="0000EE"/>
            <w:u w:val="single"/>
          </w:rPr>
          <w:t>Mrk. 1:12–13</w:t>
        </w:r>
      </w:hyperlink>
      <w:r>
        <w:rPr>
          <w:lang w:val="id_ID" w:bidi="id_ID"/>
        </w:rPr>
        <w:t>); penderitaan, kematian, dan kebangkitan yang terjadi pada bagian akhir (</w:t>
      </w:r>
      <w:hyperlink r:id="rId27">
        <w:r>
          <w:rPr>
            <w:lang w:val="id_ID" w:bidi="id_ID"/>
          </w:rPr>
          <w:rPr>
            <w:color w:val="0000EE"/>
            <w:u w:val="single"/>
          </w:rPr>
          <w:t>Mrk. 11:1–16:8</w:t>
        </w:r>
      </w:hyperlink>
      <w:r>
        <w:rPr>
          <w:lang w:val="id_ID" w:bidi="id_ID"/>
        </w:rPr>
        <w:t>). Beberapa catatan terpisah disatukan secara kronologis, seperti pengakuan Petrus di Kaisarea Filipi (</w:t>
      </w:r>
      <w:hyperlink r:id="rId28">
        <w:r>
          <w:rPr>
            <w:lang w:val="id_ID" w:bidi="id_ID"/>
          </w:rPr>
          <w:rPr>
            <w:color w:val="0000EE"/>
            <w:u w:val="single"/>
          </w:rPr>
          <w:t>8:27–33</w:t>
        </w:r>
      </w:hyperlink>
      <w:r>
        <w:rPr>
          <w:lang w:val="id_ID" w:bidi="id_ID"/>
        </w:rPr>
        <w:t>) dan peristiwa transfigurasi Yesus (</w:t>
      </w:r>
      <w:hyperlink r:id="rId29">
        <w:r>
          <w:rPr>
            <w:lang w:val="id_ID" w:bidi="id_ID"/>
          </w:rPr>
          <w:rPr>
            <w:color w:val="0000EE"/>
            <w:u w:val="single"/>
          </w:rPr>
          <w:t>Mrk. 9:1–13</w:t>
        </w:r>
      </w:hyperlink>
      <w:r>
        <w:rPr>
          <w:lang w:val="id_ID" w:bidi="id_ID"/>
        </w:rPr>
        <w:t xml:space="preserve">; baca juga </w:t>
      </w:r>
      <w:hyperlink r:id="rId30">
        <w:r>
          <w:rPr>
            <w:lang w:val="id_ID" w:bidi="id_ID"/>
          </w:rPr>
          <w:rPr>
            <w:color w:val="0000EE"/>
            <w:u w:val="single"/>
          </w:rPr>
          <w:t>Mrk. 1:29</w:t>
        </w:r>
      </w:hyperlink>
      <w:r>
        <w:rPr>
          <w:lang w:val="id_ID" w:bidi="id_ID"/>
        </w:rPr>
        <w:t xml:space="preserve">, </w:t>
      </w:r>
      <w:hyperlink r:id="rId31">
        <w:r>
          <w:rPr>
            <w:lang w:val="id_ID" w:bidi="id_ID"/>
          </w:rPr>
          <w:rPr>
            <w:color w:val="0000EE"/>
            <w:u w:val="single"/>
          </w:rPr>
          <w:t>35</w:t>
        </w:r>
      </w:hyperlink>
      <w:r>
        <w:rPr>
          <w:lang w:val="id_ID" w:bidi="id_ID"/>
        </w:rPr>
        <w:t>).</w:t>
      </w:r>
    </w:p>
    <w:p>
      <w:pPr/>
      <w:r>
        <w:rPr>
          <w:lang w:val="id_ID" w:bidi="id_ID"/>
        </w:rPr>
      </w:r>
      <w:r>
        <w:rPr>
          <w:lang w:val="id_ID" w:bidi="id_ID"/>
        </w:rPr>
        <w:t xml:space="preserve">Titik balik utama dalam pelayanan Yesus dijelaskan di dalam </w:t>
      </w:r>
      <w:hyperlink r:id="rId28">
        <w:r>
          <w:rPr>
            <w:lang w:val="id_ID" w:bidi="id_ID"/>
          </w:rPr>
          <w:rPr>
            <w:color w:val="0000EE"/>
            <w:u w:val="single"/>
          </w:rPr>
          <w:t>Mrk. 8:27–33</w:t>
        </w:r>
      </w:hyperlink>
      <w:r>
        <w:rPr>
          <w:lang w:val="id_ID" w:bidi="id_ID"/>
        </w:rPr>
        <w:t>, yang berada hampir di tengah-tengah kitab tersebut. Di Kaisarea Filipi, para murid untuk pertama kalinya mengaku bahwa Yesus adalah Mesias (</w:t>
      </w:r>
      <w:hyperlink r:id="rId32">
        <w:r>
          <w:rPr>
            <w:lang w:val="id_ID" w:bidi="id_ID"/>
          </w:rPr>
          <w:rPr>
            <w:color w:val="0000EE"/>
            <w:u w:val="single"/>
          </w:rPr>
          <w:t>Mrk. 8:29</w:t>
        </w:r>
      </w:hyperlink>
      <w:r>
        <w:rPr>
          <w:lang w:val="id_ID" w:bidi="id_ID"/>
        </w:rPr>
        <w:t>). Terhadap pengakuan ini, “mulailah Yesus mengajarkan” tentang kematian dan kebangkitan-Nya yang sudah dekat (</w:t>
      </w:r>
      <w:hyperlink r:id="rId33">
        <w:r>
          <w:rPr>
            <w:lang w:val="id_ID" w:bidi="id_ID"/>
          </w:rPr>
          <w:rPr>
            <w:color w:val="0000EE"/>
            <w:u w:val="single"/>
          </w:rPr>
          <w:t>Mrk. 8:31</w:t>
        </w:r>
      </w:hyperlink>
      <w:r>
        <w:rPr>
          <w:lang w:val="id_ID" w:bidi="id_ID"/>
        </w:rPr>
        <w:t xml:space="preserve">; bdk. </w:t>
      </w:r>
      <w:hyperlink r:id="rId34">
        <w:r>
          <w:rPr>
            <w:lang w:val="id_ID" w:bidi="id_ID"/>
          </w:rPr>
          <w:rPr>
            <w:color w:val="0000EE"/>
            <w:u w:val="single"/>
          </w:rPr>
          <w:t>Mat. 16:21</w:t>
        </w:r>
      </w:hyperlink>
      <w:r>
        <w:rPr>
          <w:lang w:val="id_ID" w:bidi="id_ID"/>
        </w:rPr>
        <w:t xml:space="preserve">). Kematian dan kebangkitan Yesus adalah tema utama di dalam </w:t>
      </w:r>
      <w:hyperlink r:id="rId35">
        <w:r>
          <w:rPr>
            <w:lang w:val="id_ID" w:bidi="id_ID"/>
          </w:rPr>
          <w:rPr>
            <w:color w:val="0000EE"/>
            <w:u w:val="single"/>
          </w:rPr>
          <w:t>Mrk. 8:31–16:8</w:t>
        </w:r>
      </w:hyperlink>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hyperlink r:id="rId36">
        <w:r>
          <w:rPr>
            <w:lang w:val="id_ID" w:bidi="id_ID"/>
          </w:rPr>
          <w:rPr>
            <w:color w:val="0000EE"/>
            <w:u w:val="single"/>
          </w:rPr>
          <w:t>Kisah 13:13</w:t>
        </w:r>
      </w:hyperlink>
      <w:r>
        <w:rPr>
          <w:lang w:val="id_ID" w:bidi="id_ID"/>
        </w:rPr>
        <w:t xml:space="preserve">; </w:t>
      </w:r>
      <w:hyperlink r:id="rId37">
        <w:r>
          <w:rPr>
            <w:lang w:val="id_ID" w:bidi="id_ID"/>
          </w:rPr>
          <w:rPr>
            <w:color w:val="0000EE"/>
            <w:u w:val="single"/>
          </w:rPr>
          <w:t>15:36–41</w:t>
        </w:r>
      </w:hyperlink>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hyperlink r:id="rId38">
        <w:r>
          <w:rPr>
            <w:lang w:val="id_ID" w:bidi="id_ID"/>
          </w:rPr>
          <w:rPr>
            <w:color w:val="0000EE"/>
            <w:u w:val="single"/>
          </w:rPr>
          <w:t>Mrk. 5:41</w:t>
        </w:r>
      </w:hyperlink>
      <w:r>
        <w:rPr>
          <w:lang w:val="id_ID" w:bidi="id_ID"/>
        </w:rPr>
        <w:t xml:space="preserve">; </w:t>
      </w:r>
      <w:hyperlink r:id="rId39">
        <w:r>
          <w:rPr>
            <w:lang w:val="id_ID" w:bidi="id_ID"/>
          </w:rPr>
          <w:rPr>
            <w:color w:val="0000EE"/>
            <w:u w:val="single"/>
          </w:rPr>
          <w:t>7:34</w:t>
        </w:r>
      </w:hyperlink>
      <w:r>
        <w:rPr>
          <w:lang w:val="id_ID" w:bidi="id_ID"/>
        </w:rPr>
        <w:t xml:space="preserve">; </w:t>
      </w:r>
      <w:hyperlink r:id="rId40">
        <w:r>
          <w:rPr>
            <w:lang w:val="id_ID" w:bidi="id_ID"/>
          </w:rPr>
          <w:rPr>
            <w:color w:val="0000EE"/>
            <w:u w:val="single"/>
          </w:rPr>
          <w:t>15:34</w:t>
        </w:r>
      </w:hyperlink>
      <w:r>
        <w:rPr>
          <w:lang w:val="id_ID" w:bidi="id_ID"/>
        </w:rPr>
        <w:t xml:space="preserve">). Ia juga seorang Yahudi, karena ia tahu dan dapat menjelaskan berbagai adat istiadat Yahudi kepada para pembacanya yang non-Yahudi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Yohanes Markus benar-benar seorang Yahudi yang dibesarkan di Yerusalem (</w:t>
      </w:r>
      <w:hyperlink r:id="rId43">
        <w:r>
          <w:rPr>
            <w:lang w:val="id_ID" w:bidi="id_ID"/>
          </w:rPr>
          <w:rPr>
            <w:color w:val="0000EE"/>
            <w:u w:val="single"/>
          </w:rPr>
          <w:t>Kisah 12:12</w:t>
        </w:r>
      </w:hyperlink>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4">
        <w:r>
          <w:rPr>
            <w:lang w:val="id_ID" w:bidi="id_ID"/>
          </w:rPr>
          <w:rPr>
            <w:color w:val="0000EE"/>
            <w:u w:val="single"/>
          </w:rPr>
          <w:t>Mrk. 1:16–20</w:t>
        </w:r>
      </w:hyperlink>
      <w:r>
        <w:rPr>
          <w:lang w:val="id_ID" w:bidi="id_ID"/>
        </w:rPr>
        <w:t xml:space="preserve">; </w:t>
      </w:r>
      <w:hyperlink r:id="rId45">
        <w:r>
          <w:rPr>
            <w:lang w:val="id_ID" w:bidi="id_ID"/>
          </w:rPr>
          <w:rPr>
            <w:color w:val="0000EE"/>
            <w:u w:val="single"/>
          </w:rPr>
          <w:t>8:32–33</w:t>
        </w:r>
      </w:hyperlink>
      <w:r>
        <w:rPr>
          <w:lang w:val="id_ID" w:bidi="id_ID"/>
        </w:rPr>
        <w:t xml:space="preserve">; </w:t>
      </w:r>
      <w:hyperlink r:id="rId46">
        <w:r>
          <w:rPr>
            <w:lang w:val="id_ID" w:bidi="id_ID"/>
          </w:rPr>
          <w:rPr>
            <w:color w:val="0000EE"/>
            <w:u w:val="single"/>
          </w:rPr>
          <w:t>9:5–6</w:t>
        </w:r>
      </w:hyperlink>
      <w:r>
        <w:rPr>
          <w:lang w:val="id_ID" w:bidi="id_ID"/>
        </w:rPr>
        <w:t xml:space="preserve">; </w:t>
      </w:r>
      <w:hyperlink r:id="rId47">
        <w:r>
          <w:rPr>
            <w:lang w:val="id_ID" w:bidi="id_ID"/>
          </w:rPr>
          <w:rPr>
            <w:color w:val="0000EE"/>
            <w:u w:val="single"/>
          </w:rPr>
          <w:t>14:28–31</w:t>
        </w:r>
      </w:hyperlink>
      <w:r>
        <w:rPr>
          <w:lang w:val="id_ID" w:bidi="id_ID"/>
        </w:rPr>
        <w:t xml:space="preserve">, </w:t>
      </w:r>
      <w:hyperlink r:id="rId48">
        <w:r>
          <w:rPr>
            <w:lang w:val="id_ID" w:bidi="id_ID"/>
          </w:rPr>
          <w:rPr>
            <w:color w:val="0000EE"/>
            <w:u w:val="single"/>
          </w:rPr>
          <w:t>66–72</w:t>
        </w:r>
      </w:hyperlink>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49">
        <w:r>
          <w:rPr>
            <w:lang w:val="id_ID" w:bidi="id_ID"/>
          </w:rPr>
          <w:rPr>
            <w:color w:val="0000EE"/>
            <w:u w:val="single"/>
          </w:rPr>
          <w:t>Mrk. 4:17</w:t>
        </w:r>
      </w:hyperlink>
      <w:r>
        <w:rPr>
          <w:lang w:val="id_ID" w:bidi="id_ID"/>
        </w:rPr>
        <w:t xml:space="preserve">; </w:t>
      </w:r>
      <w:hyperlink r:id="rId50">
        <w:r>
          <w:rPr>
            <w:lang w:val="id_ID" w:bidi="id_ID"/>
          </w:rPr>
          <w:rPr>
            <w:color w:val="0000EE"/>
            <w:u w:val="single"/>
          </w:rPr>
          <w:t>8:34–38</w:t>
        </w:r>
      </w:hyperlink>
      <w:r>
        <w:rPr>
          <w:lang w:val="id_ID" w:bidi="id_ID"/>
        </w:rPr>
        <w:t xml:space="preserve">; </w:t>
      </w:r>
      <w:hyperlink r:id="rId51">
        <w:r>
          <w:rPr>
            <w:lang w:val="id_ID" w:bidi="id_ID"/>
          </w:rPr>
          <w:rPr>
            <w:color w:val="0000EE"/>
            <w:u w:val="single"/>
          </w:rPr>
          <w:t>10:30</w:t>
        </w:r>
      </w:hyperlink>
      <w:r>
        <w:rPr>
          <w:lang w:val="id_ID" w:bidi="id_ID"/>
        </w:rPr>
        <w:t xml:space="preserve">; </w:t>
      </w:r>
      <w:hyperlink r:id="rId52">
        <w:r>
          <w:rPr>
            <w:lang w:val="id_ID" w:bidi="id_ID"/>
          </w:rPr>
          <w:rPr>
            <w:color w:val="0000EE"/>
            <w:u w:val="single"/>
          </w:rPr>
          <w:t>13:9–13</w:t>
        </w:r>
      </w:hyperlink>
      <w:r>
        <w:rPr>
          <w:lang w:val="id_ID" w:bidi="id_ID"/>
        </w:rPr>
        <w:t xml:space="preserve">) menunjukkan masa selama atau segera setelah masa penganiayaan oleh Nero pada pertengahan dekade 60-an; dan (2) Diskursus Yesus yang tercatat dalam pasal </w:t>
      </w:r>
      <w:hyperlink r:id="rId53">
        <w:r>
          <w:rPr>
            <w:lang w:val="id_ID" w:bidi="id_ID"/>
          </w:rPr>
          <w:rPr>
            <w:color w:val="0000EE"/>
            <w:u w:val="single"/>
          </w:rPr>
          <w:t>13</w:t>
        </w:r>
      </w:hyperlink>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dan membedakan pembacanya dari “orang-orang Yahudi” (</w:t>
      </w:r>
      <w:hyperlink r:id="rId54">
        <w:r>
          <w:rPr>
            <w:lang w:val="id_ID" w:bidi="id_ID"/>
          </w:rPr>
          <w:rPr>
            <w:color w:val="0000EE"/>
            <w:u w:val="single"/>
          </w:rPr>
          <w:t>Mrk. 7:3</w:t>
        </w:r>
      </w:hyperlink>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hyperlink r:id="rId55">
        <w:r>
          <w:rPr>
            <w:lang w:val="id_ID" w:bidi="id_ID"/>
          </w:rPr>
          <w:rPr>
            <w:color w:val="0000EE"/>
            <w:u w:val="single"/>
          </w:rPr>
          <w:t>Mrk. 2:25–26</w:t>
        </w:r>
      </w:hyperlink>
      <w:r>
        <w:rPr>
          <w:lang w:val="id_ID" w:bidi="id_ID"/>
        </w:rPr>
        <w:t>) atau hal-hal seperti siapakah Yohanes Pembaptis itu (</w:t>
      </w:r>
      <w:hyperlink r:id="rId56">
        <w:r>
          <w:rPr>
            <w:lang w:val="id_ID" w:bidi="id_ID"/>
          </w:rPr>
          <w:rPr>
            <w:color w:val="0000EE"/>
            <w:u w:val="single"/>
          </w:rPr>
          <w:t>Mrk. 1:2–8</w:t>
        </w:r>
      </w:hyperlink>
      <w:r>
        <w:rPr>
          <w:lang w:val="id_ID" w:bidi="id_ID"/>
        </w:rPr>
        <w:t>), siapakah Nabi Yesaya itu (</w:t>
      </w:r>
      <w:hyperlink r:id="rId57">
        <w:r>
          <w:rPr>
            <w:lang w:val="id_ID" w:bidi="id_ID"/>
          </w:rPr>
          <w:rPr>
            <w:color w:val="0000EE"/>
            <w:u w:val="single"/>
          </w:rPr>
          <w:t>Mrk. 1:2</w:t>
        </w:r>
      </w:hyperlink>
      <w:r>
        <w:rPr>
          <w:lang w:val="id_ID" w:bidi="id_ID"/>
        </w:rPr>
        <w:t>), atau siapakah orang-orang Farisi dan ahli-ahli Taurat itu (</w:t>
      </w:r>
      <w:hyperlink r:id="rId58">
        <w:r>
          <w:rPr>
            <w:lang w:val="id_ID" w:bidi="id_ID"/>
          </w:rPr>
          <w:rPr>
            <w:color w:val="0000EE"/>
            <w:u w:val="single"/>
          </w:rPr>
          <w:t>Mrk. 7:1</w:t>
        </w:r>
      </w:hyperlink>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hyperlink r:id="rId59">
        <w:r>
          <w:rPr>
            <w:lang w:val="id_ID" w:bidi="id_ID"/>
          </w:rPr>
          <w:rPr>
            <w:color w:val="0000EE"/>
            <w:u w:val="single"/>
          </w:rPr>
          <w:t>Mrk. 6:27</w:t>
        </w:r>
      </w:hyperlink>
      <w:r>
        <w:rPr>
          <w:lang w:val="id_ID" w:bidi="id_ID"/>
        </w:rPr>
        <w:t xml:space="preserve">, ia memakai kata dalam bahasa Latin yang berarti “tentara”; di dalam </w:t>
      </w:r>
      <w:hyperlink r:id="rId60">
        <w:r>
          <w:rPr>
            <w:lang w:val="id_ID" w:bidi="id_ID"/>
          </w:rPr>
          <w:rPr>
            <w:color w:val="0000EE"/>
            <w:u w:val="single"/>
          </w:rPr>
          <w:t>Mrk. 12:42</w:t>
        </w:r>
      </w:hyperlink>
      <w:r>
        <w:rPr>
          <w:lang w:val="id_ID" w:bidi="id_ID"/>
        </w:rPr>
        <w:t>, ia menyebut jenis koin Romawi (</w:t>
      </w:r>
      <w:r>
        <w:rPr>
          <w:i/>
          <w:lang w:val="id_ID" w:bidi="id_ID"/>
        </w:rPr>
        <w:t>Kuadran</w:t>
      </w:r>
      <w:r>
        <w:rPr>
          <w:lang w:val="id_ID" w:bidi="id_ID"/>
        </w:rPr>
        <w:t xml:space="preserve">) untuk menjelaskan arti “dua Peser“ (koin Yunani); dan di dalam </w:t>
      </w:r>
      <w:hyperlink r:id="rId61">
        <w:r>
          <w:rPr>
            <w:lang w:val="id_ID" w:bidi="id_ID"/>
          </w:rPr>
          <w:rPr>
            <w:color w:val="0000EE"/>
            <w:u w:val="single"/>
          </w:rPr>
          <w:t>Mrk. 15:39</w:t>
        </w:r>
      </w:hyperlink>
      <w:r>
        <w:rPr>
          <w:lang w:val="id_ID" w:bidi="id_ID"/>
        </w:rPr>
        <w:t xml:space="preserve">, </w:t>
      </w:r>
      <w:hyperlink r:id="rId62">
        <w:r>
          <w:rPr>
            <w:lang w:val="id_ID" w:bidi="id_ID"/>
          </w:rPr>
          <w:rPr>
            <w:color w:val="0000EE"/>
            <w:u w:val="single"/>
          </w:rPr>
          <w:t>44–45</w:t>
        </w:r>
      </w:hyperlink>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hyperlink r:id="rId63">
        <w:r>
          <w:rPr>
            <w:lang w:val="id_ID" w:bidi="id_ID"/>
          </w:rPr>
          <w:rPr>
            <w:color w:val="0000EE"/>
            <w:u w:val="single"/>
          </w:rPr>
          <w:t>Mrk. 1:21–22</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4:1</w:t>
        </w:r>
      </w:hyperlink>
      <w:r>
        <w:rPr>
          <w:lang w:val="id_ID" w:bidi="id_ID"/>
        </w:rPr>
        <w:t xml:space="preserve">; </w:t>
      </w:r>
      <w:hyperlink r:id="rId58">
        <w:r>
          <w:rPr>
            <w:lang w:val="id_ID" w:bidi="id_ID"/>
          </w:rPr>
          <w:rPr>
            <w:color w:val="0000EE"/>
            <w:u w:val="single"/>
          </w:rPr>
          <w:t>7:1</w:t>
        </w:r>
      </w:hyperlink>
      <w:r>
        <w:rPr>
          <w:lang w:val="id_ID" w:bidi="id_ID"/>
        </w:rPr>
        <w:t xml:space="preserve">), di dalam komentar-komentar penjelasannya (mis., </w:t>
      </w:r>
      <w:hyperlink r:id="rId66">
        <w:r>
          <w:rPr>
            <w:lang w:val="id_ID" w:bidi="id_ID"/>
          </w:rPr>
          <w:rPr>
            <w:color w:val="0000EE"/>
            <w:u w:val="single"/>
          </w:rPr>
          <w:t>Mrk. 1:16</w:t>
        </w:r>
      </w:hyperlink>
      <w:r>
        <w:rPr>
          <w:lang w:val="id_ID" w:bidi="id_ID"/>
        </w:rPr>
        <w:t xml:space="preserve">; </w:t>
      </w:r>
      <w:hyperlink r:id="rId67">
        <w:r>
          <w:rPr>
            <w:lang w:val="id_ID" w:bidi="id_ID"/>
          </w:rPr>
          <w:rPr>
            <w:color w:val="0000EE"/>
            <w:u w:val="single"/>
          </w:rPr>
          <w:t>2:15</w:t>
        </w:r>
      </w:hyperlink>
      <w:r>
        <w:rPr>
          <w:lang w:val="id_ID" w:bidi="id_ID"/>
        </w:rPr>
        <w:t xml:space="preserve">; </w:t>
      </w:r>
      <w:hyperlink r:id="rId68">
        <w:r>
          <w:rPr>
            <w:lang w:val="id_ID" w:bidi="id_ID"/>
          </w:rPr>
          <w:rPr>
            <w:color w:val="0000EE"/>
            <w:u w:val="single"/>
          </w:rPr>
          <w:t>5:8</w:t>
        </w:r>
      </w:hyperlink>
      <w:r>
        <w:rPr>
          <w:lang w:val="id_ID" w:bidi="id_ID"/>
        </w:rPr>
        <w:t xml:space="preserve">, </w:t>
      </w:r>
      <w:hyperlink r:id="rId69">
        <w:r>
          <w:rPr>
            <w:lang w:val="id_ID" w:bidi="id_ID"/>
          </w:rPr>
          <w:rPr>
            <w:color w:val="0000EE"/>
            <w:u w:val="single"/>
          </w:rPr>
          <w:t>28</w:t>
        </w:r>
      </w:hyperlink>
      <w:r>
        <w:rPr>
          <w:lang w:val="id_ID" w:bidi="id_ID"/>
        </w:rPr>
        <w:t xml:space="preserve">, </w:t>
      </w:r>
      <w:hyperlink r:id="rId70">
        <w:r>
          <w:rPr>
            <w:lang w:val="id_ID" w:bidi="id_ID"/>
          </w:rPr>
          <w:rPr>
            <w:color w:val="0000EE"/>
            <w:u w:val="single"/>
          </w:rPr>
          <w:t>42</w:t>
        </w:r>
      </w:hyperlink>
      <w:r>
        <w:rPr>
          <w:lang w:val="id_ID" w:bidi="id_ID"/>
        </w:rPr>
        <w:t xml:space="preserve">; </w:t>
      </w:r>
      <w:hyperlink r:id="rId71">
        <w:r>
          <w:rPr>
            <w:lang w:val="id_ID" w:bidi="id_ID"/>
          </w:rPr>
          <w:rPr>
            <w:color w:val="0000EE"/>
            <w:u w:val="single"/>
          </w:rPr>
          <w:t>6:14</w:t>
        </w:r>
      </w:hyperlink>
      <w:r>
        <w:rPr>
          <w:lang w:val="id_ID" w:bidi="id_ID"/>
        </w:rPr>
        <w:t xml:space="preserve">, </w:t>
      </w:r>
      <w:hyperlink r:id="rId72">
        <w:r>
          <w:rPr>
            <w:lang w:val="id_ID" w:bidi="id_ID"/>
          </w:rPr>
          <w:rPr>
            <w:color w:val="0000EE"/>
            <w:u w:val="single"/>
          </w:rPr>
          <w:t>17</w:t>
        </w:r>
      </w:hyperlink>
      <w:r>
        <w:rPr>
          <w:lang w:val="id_ID" w:bidi="id_ID"/>
        </w:rPr>
        <w:t xml:space="preserve">, </w:t>
      </w:r>
      <w:hyperlink r:id="rId73">
        <w:r>
          <w:rPr>
            <w:lang w:val="id_ID" w:bidi="id_ID"/>
          </w:rPr>
          <w:rPr>
            <w:color w:val="0000EE"/>
            <w:u w:val="single"/>
          </w:rPr>
          <w:t>20</w:t>
        </w:r>
      </w:hyperlink>
      <w:r>
        <w:rPr>
          <w:lang w:val="id_ID" w:bidi="id_ID"/>
        </w:rPr>
        <w:t xml:space="preserve">, </w:t>
      </w:r>
      <w:hyperlink r:id="rId74">
        <w:r>
          <w:rPr>
            <w:lang w:val="id_ID" w:bidi="id_ID"/>
          </w:rPr>
          <w:rPr>
            <w:color w:val="0000EE"/>
            <w:u w:val="single"/>
          </w:rPr>
          <w:t>52</w:t>
        </w:r>
      </w:hyperlink>
      <w:r>
        <w:rPr>
          <w:lang w:val="id_ID" w:bidi="id_ID"/>
        </w:rPr>
        <w:t xml:space="preserve">; </w:t>
      </w:r>
      <w:hyperlink r:id="rId41">
        <w:r>
          <w:rPr>
            <w:lang w:val="id_ID" w:bidi="id_ID"/>
          </w:rPr>
          <w:rPr>
            <w:color w:val="0000EE"/>
            <w:u w:val="single"/>
          </w:rPr>
          <w:t>7:3–4</w:t>
        </w:r>
      </w:hyperlink>
      <w:r>
        <w:rPr>
          <w:lang w:val="id_ID" w:bidi="id_ID"/>
        </w:rPr>
        <w:t xml:space="preserve">), dan di dalam rangkuman-rangkumannya (mis., </w:t>
      </w:r>
      <w:hyperlink r:id="rId75">
        <w:r>
          <w:rPr>
            <w:lang w:val="id_ID" w:bidi="id_ID"/>
          </w:rPr>
          <w:rPr>
            <w:color w:val="0000EE"/>
            <w:u w:val="single"/>
          </w:rPr>
          <w:t>Mrk. 1:14–15</w:t>
        </w:r>
      </w:hyperlink>
      <w:r>
        <w:rPr>
          <w:lang w:val="id_ID" w:bidi="id_ID"/>
        </w:rPr>
        <w:t xml:space="preserve">, </w:t>
      </w:r>
      <w:hyperlink r:id="rId76">
        <w:r>
          <w:rPr>
            <w:lang w:val="id_ID" w:bidi="id_ID"/>
          </w:rPr>
          <w:rPr>
            <w:color w:val="0000EE"/>
            <w:u w:val="single"/>
          </w:rPr>
          <w:t>34</w:t>
        </w:r>
      </w:hyperlink>
      <w:r>
        <w:rPr>
          <w:lang w:val="id_ID" w:bidi="id_ID"/>
        </w:rPr>
        <w:t xml:space="preserve">, </w:t>
      </w:r>
      <w:hyperlink r:id="rId77">
        <w:r>
          <w:rPr>
            <w:lang w:val="id_ID" w:bidi="id_ID"/>
          </w:rPr>
          <w:rPr>
            <w:color w:val="0000EE"/>
            <w:u w:val="single"/>
          </w:rPr>
          <w:t>39</w:t>
        </w:r>
      </w:hyperlink>
      <w:r>
        <w:rPr>
          <w:lang w:val="id_ID" w:bidi="id_ID"/>
        </w:rPr>
        <w:t xml:space="preserve">; </w:t>
      </w:r>
      <w:hyperlink r:id="rId78">
        <w:r>
          <w:rPr>
            <w:lang w:val="id_ID" w:bidi="id_ID"/>
          </w:rPr>
          <w:rPr>
            <w:color w:val="0000EE"/>
            <w:u w:val="single"/>
          </w:rPr>
          <w:t>3:7–12</w:t>
        </w:r>
      </w:hyperlink>
      <w:r>
        <w:rPr>
          <w:lang w:val="id_ID" w:bidi="id_ID"/>
        </w:rPr>
        <w:t xml:space="preserve">; </w:t>
      </w:r>
      <w:hyperlink r:id="rId79">
        <w:r>
          <w:rPr>
            <w:lang w:val="id_ID" w:bidi="id_ID"/>
          </w:rPr>
          <w:rPr>
            <w:color w:val="0000EE"/>
            <w:u w:val="single"/>
          </w:rPr>
          <w:t>6:53–56</w:t>
        </w:r>
      </w:hyperlink>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hyperlink r:id="rId80">
        <w:r>
          <w:rPr>
            <w:lang w:val="id_ID" w:bidi="id_ID"/>
          </w:rPr>
          <w:rPr>
            <w:color w:val="0000EE"/>
            <w:u w:val="single"/>
          </w:rPr>
          <w:t>Mrk. 1:23</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82">
        <w:r>
          <w:rPr>
            <w:lang w:val="id_ID" w:bidi="id_ID"/>
          </w:rPr>
          <w:rPr>
            <w:color w:val="0000EE"/>
            <w:u w:val="single"/>
          </w:rPr>
          <w:t>6:45</w:t>
        </w:r>
      </w:hyperlink>
      <w:r>
        <w:rPr>
          <w:lang w:val="id_ID" w:bidi="id_ID"/>
        </w:rPr>
        <w:t xml:space="preserve">). Ia memakai bentuk waktu masa kini bahasa Yunani di dalam narasinya, bukan bentuk waktu masa lalu, untuk memberi kesan kesegeraan (mis., </w:t>
      </w:r>
      <w:hyperlink r:id="rId83">
        <w:r>
          <w:rPr>
            <w:lang w:val="id_ID" w:bidi="id_ID"/>
          </w:rPr>
          <w:rPr>
            <w:color w:val="0000EE"/>
            <w:u w:val="single"/>
          </w:rPr>
          <w:t>Mrk. 1:12</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38</w:t>
        </w:r>
      </w:hyperlink>
      <w:r>
        <w:rPr>
          <w:lang w:val="id_ID" w:bidi="id_ID"/>
        </w:rPr>
        <w:t xml:space="preserve">, </w:t>
      </w:r>
      <w:hyperlink r:id="rId86">
        <w:r>
          <w:rPr>
            <w:lang w:val="id_ID" w:bidi="id_ID"/>
          </w:rPr>
          <w:rPr>
            <w:color w:val="0000EE"/>
            <w:u w:val="single"/>
          </w:rPr>
          <w:t>40</w:t>
        </w:r>
      </w:hyperlink>
      <w:r>
        <w:rPr>
          <w:lang w:val="id_ID" w:bidi="id_ID"/>
        </w:rPr>
        <w:t xml:space="preserve">, </w:t>
      </w:r>
      <w:hyperlink r:id="rId87">
        <w:r>
          <w:rPr>
            <w:lang w:val="id_ID" w:bidi="id_ID"/>
          </w:rPr>
          <w:rPr>
            <w:color w:val="0000EE"/>
            <w:u w:val="single"/>
          </w:rPr>
          <w:t>44</w:t>
        </w:r>
      </w:hyperlink>
      <w:r>
        <w:rPr>
          <w:lang w:val="id_ID" w:bidi="id_ID"/>
        </w:rPr>
        <w:t xml:space="preserve">; </w:t>
      </w:r>
      <w:hyperlink r:id="rId88">
        <w:r>
          <w:rPr>
            <w:lang w:val="id_ID" w:bidi="id_ID"/>
          </w:rPr>
          <w:rPr>
            <w:color w:val="0000EE"/>
            <w:u w:val="single"/>
          </w:rPr>
          <w:t>2:3</w:t>
        </w:r>
      </w:hyperlink>
      <w:r>
        <w:rPr>
          <w:lang w:val="id_ID" w:bidi="id_ID"/>
        </w:rPr>
        <w:t xml:space="preserve">; </w:t>
      </w:r>
      <w:hyperlink r:id="rId89">
        <w:r>
          <w:rPr>
            <w:lang w:val="id_ID" w:bidi="id_ID"/>
          </w:rPr>
          <w:rPr>
            <w:color w:val="0000EE"/>
            <w:u w:val="single"/>
          </w:rPr>
          <w:t>3:13</w:t>
        </w:r>
      </w:hyperlink>
      <w:r>
        <w:rPr>
          <w:lang w:val="id_ID" w:bidi="id_ID"/>
        </w:rPr>
        <w:t xml:space="preserve">). Markus juga sering kali menyisipkan sebuah cerita di antara dua cerita yang lain (mis., </w:t>
      </w:r>
      <w:hyperlink r:id="rId90">
        <w:r>
          <w:rPr>
            <w:lang w:val="id_ID" w:bidi="id_ID"/>
          </w:rPr>
          <w:rPr>
            <w:color w:val="0000EE"/>
            <w:u w:val="single"/>
          </w:rPr>
          <w:t>Mrk. 3:22–30</w:t>
        </w:r>
      </w:hyperlink>
      <w:r>
        <w:rPr>
          <w:lang w:val="id_ID" w:bidi="id_ID"/>
        </w:rPr>
        <w:t xml:space="preserve"> di antara </w:t>
      </w:r>
      <w:hyperlink r:id="rId91">
        <w:r>
          <w:rPr>
            <w:lang w:val="id_ID" w:bidi="id_ID"/>
          </w:rPr>
          <w:rPr>
            <w:color w:val="0000EE"/>
            <w:u w:val="single"/>
          </w:rPr>
          <w:t>Mrk. 3:20–21</w:t>
        </w:r>
      </w:hyperlink>
      <w:r>
        <w:rPr>
          <w:lang w:val="id_ID" w:bidi="id_ID"/>
        </w:rPr>
        <w:t xml:space="preserve">, </w:t>
      </w:r>
      <w:hyperlink r:id="rId92">
        <w:r>
          <w:rPr>
            <w:lang w:val="id_ID" w:bidi="id_ID"/>
          </w:rPr>
          <w:rPr>
            <w:color w:val="0000EE"/>
            <w:u w:val="single"/>
          </w:rPr>
          <w:t>31–35</w:t>
        </w:r>
      </w:hyperlink>
      <w:r>
        <w:rPr>
          <w:lang w:val="id_ID" w:bidi="id_ID"/>
        </w:rPr>
        <w:t xml:space="preserve">; </w:t>
      </w:r>
      <w:hyperlink r:id="rId93">
        <w:r>
          <w:rPr>
            <w:lang w:val="id_ID" w:bidi="id_ID"/>
          </w:rPr>
          <w:rPr>
            <w:color w:val="0000EE"/>
            <w:u w:val="single"/>
          </w:rPr>
          <w:t>5:25–34</w:t>
        </w:r>
      </w:hyperlink>
      <w:r>
        <w:rPr>
          <w:lang w:val="id_ID" w:bidi="id_ID"/>
        </w:rPr>
        <w:t xml:space="preserve"> di antara </w:t>
      </w:r>
      <w:hyperlink r:id="rId94">
        <w:r>
          <w:rPr>
            <w:lang w:val="id_ID" w:bidi="id_ID"/>
          </w:rPr>
          <w:rPr>
            <w:color w:val="0000EE"/>
            <w:u w:val="single"/>
          </w:rPr>
          <w:t>Mrk. 5:21–24</w:t>
        </w:r>
      </w:hyperlink>
      <w:r>
        <w:rPr>
          <w:lang w:val="id_ID" w:bidi="id_ID"/>
        </w:rPr>
        <w:t xml:space="preserve">, </w:t>
      </w:r>
      <w:hyperlink r:id="rId95">
        <w:r>
          <w:rPr>
            <w:lang w:val="id_ID" w:bidi="id_ID"/>
          </w:rPr>
          <w:rPr>
            <w:color w:val="0000EE"/>
            <w:u w:val="single"/>
          </w:rPr>
          <w:t>35–43</w:t>
        </w:r>
      </w:hyperlink>
      <w:r>
        <w:rPr>
          <w:lang w:val="id_ID" w:bidi="id_ID"/>
        </w:rPr>
        <w:t xml:space="preserve">; </w:t>
      </w:r>
      <w:hyperlink r:id="rId96">
        <w:r>
          <w:rPr>
            <w:lang w:val="id_ID" w:bidi="id_ID"/>
          </w:rPr>
          <w:rPr>
            <w:color w:val="0000EE"/>
            <w:u w:val="single"/>
          </w:rPr>
          <w:t>11:15–19</w:t>
        </w:r>
      </w:hyperlink>
      <w:r>
        <w:rPr>
          <w:lang w:val="id_ID" w:bidi="id_ID"/>
        </w:rPr>
        <w:t xml:space="preserve"> di antara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pada contoh yang terakhir, susunan roti lapis ini menunjukkan bahwa bagian yang di tengah (</w:t>
      </w:r>
      <w:hyperlink r:id="rId96">
        <w:r>
          <w:rPr>
            <w:lang w:val="id_ID" w:bidi="id_ID"/>
          </w:rPr>
          <w:rPr>
            <w:color w:val="0000EE"/>
            <w:u w:val="single"/>
          </w:rPr>
          <w:t>Mrk. 11:15–19</w:t>
        </w:r>
      </w:hyperlink>
      <w:r>
        <w:rPr>
          <w:lang w:val="id_ID" w:bidi="id_ID"/>
        </w:rPr>
        <w:t>, penyucian Bait Suci) harus dipahami dalam pengertian cerita-cerita yang mengimpitnya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xml:space="preserve">, pengutukan pohon ara)—penyucian Bait Suci adalah tindakan penghakiman secara simbolis (bdk. </w:t>
      </w:r>
      <w:hyperlink r:id="rId99">
        <w:r>
          <w:rPr>
            <w:lang w:val="id_ID" w:bidi="id_ID"/>
          </w:rPr>
          <w:rPr>
            <w:color w:val="0000EE"/>
            <w:u w:val="single"/>
          </w:rPr>
          <w:t>Mrk. 13:3–37</w:t>
        </w:r>
      </w:hyperlink>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6">
        <w:r>
          <w:rPr>
            <w:lang w:val="id_ID" w:bidi="id_ID"/>
          </w:rPr>
          <w:rPr>
            <w:color w:val="0000EE"/>
            <w:u w:val="single"/>
          </w:rPr>
          <w:t>Mrk. 1:34</w:t>
        </w:r>
      </w:hyperlink>
      <w:r>
        <w:rPr>
          <w:lang w:val="id_ID" w:bidi="id_ID"/>
        </w:rPr>
        <w:t xml:space="preserve">; </w:t>
      </w:r>
      <w:hyperlink r:id="rId100">
        <w:r>
          <w:rPr>
            <w:lang w:val="id_ID" w:bidi="id_ID"/>
          </w:rPr>
          <w:rPr>
            <w:color w:val="0000EE"/>
            <w:u w:val="single"/>
          </w:rPr>
          <w:t>3:11</w:t>
        </w:r>
      </w:hyperlink>
      <w:r>
        <w:rPr>
          <w:lang w:val="id_ID" w:bidi="id_ID"/>
        </w:rPr>
        <w:t xml:space="preserve">; </w:t>
      </w:r>
      <w:hyperlink r:id="rId101">
        <w:r>
          <w:rPr>
            <w:lang w:val="id_ID" w:bidi="id_ID"/>
          </w:rPr>
          <w:rPr>
            <w:color w:val="0000EE"/>
            <w:u w:val="single"/>
          </w:rPr>
          <w:t>5:7</w:t>
        </w:r>
      </w:hyperlink>
      <w:r>
        <w:rPr>
          <w:lang w:val="id_ID" w:bidi="id_ID"/>
        </w:rPr>
        <w:t xml:space="preserve">; bdk. </w:t>
      </w:r>
      <w:hyperlink r:id="rId102">
        <w:r>
          <w:rPr>
            <w:lang w:val="id_ID" w:bidi="id_ID"/>
          </w:rPr>
          <w:rPr>
            <w:color w:val="0000EE"/>
            <w:u w:val="single"/>
          </w:rPr>
          <w:t>Mrk. 1:24</w:t>
        </w:r>
      </w:hyperlink>
      <w:r>
        <w:rPr>
          <w:lang w:val="id_ID" w:bidi="id_ID"/>
        </w:rPr>
        <w:t>); Allah sendiri (</w:t>
      </w:r>
      <w:hyperlink r:id="rId103">
        <w:r>
          <w:rPr>
            <w:lang w:val="id_ID" w:bidi="id_ID"/>
          </w:rPr>
          <w:rPr>
            <w:color w:val="0000EE"/>
            <w:u w:val="single"/>
          </w:rPr>
          <w:t>Mrk. 1:11</w:t>
        </w:r>
      </w:hyperlink>
      <w:r>
        <w:rPr>
          <w:lang w:val="id_ID" w:bidi="id_ID"/>
        </w:rPr>
        <w:t xml:space="preserve">; </w:t>
      </w:r>
      <w:hyperlink r:id="rId104">
        <w:r>
          <w:rPr>
            <w:lang w:val="id_ID" w:bidi="id_ID"/>
          </w:rPr>
          <w:rPr>
            <w:color w:val="0000EE"/>
            <w:u w:val="single"/>
          </w:rPr>
          <w:t>9:7</w:t>
        </w:r>
      </w:hyperlink>
      <w:r>
        <w:rPr>
          <w:lang w:val="id_ID" w:bidi="id_ID"/>
        </w:rPr>
        <w:t>); Markus, sang penulis (</w:t>
      </w:r>
      <w:hyperlink r:id="rId13">
        <w:r>
          <w:rPr>
            <w:lang w:val="id_ID" w:bidi="id_ID"/>
          </w:rPr>
          <w:rPr>
            <w:color w:val="0000EE"/>
            <w:u w:val="single"/>
          </w:rPr>
          <w:t>Mrk. 1:1</w:t>
        </w:r>
      </w:hyperlink>
      <w:r>
        <w:rPr>
          <w:lang w:val="id_ID" w:bidi="id_ID"/>
        </w:rPr>
        <w:t>); seorang perwira Romawi (</w:t>
      </w:r>
      <w:hyperlink r:id="rId61">
        <w:r>
          <w:rPr>
            <w:lang w:val="id_ID" w:bidi="id_ID"/>
          </w:rPr>
          <w:rPr>
            <w:color w:val="0000EE"/>
            <w:u w:val="single"/>
          </w:rPr>
          <w:t>Mrk. 15:39</w:t>
        </w:r>
      </w:hyperlink>
      <w:r>
        <w:rPr>
          <w:lang w:val="id_ID" w:bidi="id_ID"/>
        </w:rPr>
        <w:t>); dan Yesus sendiri (</w:t>
      </w:r>
      <w:hyperlink r:id="rId105">
        <w:r>
          <w:rPr>
            <w:lang w:val="id_ID" w:bidi="id_ID"/>
          </w:rPr>
          <w:rPr>
            <w:color w:val="0000EE"/>
            <w:u w:val="single"/>
          </w:rPr>
          <w:t>Mrk. 12:6</w:t>
        </w:r>
      </w:hyperlink>
      <w:r>
        <w:rPr>
          <w:lang w:val="id_ID" w:bidi="id_ID"/>
        </w:rPr>
        <w:t xml:space="preserve">; </w:t>
      </w:r>
      <w:hyperlink r:id="rId106">
        <w:r>
          <w:rPr>
            <w:lang w:val="id_ID" w:bidi="id_ID"/>
          </w:rPr>
          <w:rPr>
            <w:color w:val="0000EE"/>
            <w:u w:val="single"/>
          </w:rPr>
          <w:t>13:32</w:t>
        </w:r>
      </w:hyperlink>
      <w:r>
        <w:rPr>
          <w:lang w:val="id_ID" w:bidi="id_ID"/>
        </w:rPr>
        <w:t xml:space="preserve">; </w:t>
      </w:r>
      <w:hyperlink r:id="rId107">
        <w:r>
          <w:rPr>
            <w:lang w:val="id_ID" w:bidi="id_ID"/>
          </w:rPr>
          <w:rPr>
            <w:color w:val="0000EE"/>
            <w:u w:val="single"/>
          </w:rPr>
          <w:t>14:61–62</w:t>
        </w:r>
      </w:hyperlink>
      <w:r>
        <w:rPr>
          <w:lang w:val="id_ID" w:bidi="id_ID"/>
        </w:rPr>
        <w:t xml:space="preserve">). Gelar-gelar Yesus yang lain muncul dalam Injil Markus, termasuk gelar yang disukai Yesus sendiri, “Anak Manusia” (mis., </w:t>
      </w:r>
      <w:hyperlink r:id="rId108">
        <w:r>
          <w:rPr>
            <w:lang w:val="id_ID" w:bidi="id_ID"/>
          </w:rPr>
          <w:rPr>
            <w:color w:val="0000EE"/>
            <w:u w:val="single"/>
          </w:rPr>
          <w:t>Mrk. 2:10</w:t>
        </w:r>
      </w:hyperlink>
      <w:r>
        <w:rPr>
          <w:lang w:val="id_ID" w:bidi="id_ID"/>
        </w:rPr>
        <w:t xml:space="preserve">). Namun, di dalam Injil Markus, semua gelar ini, dan juga perbuatan-perbuatan-Nya (mis., </w:t>
      </w:r>
      <w:hyperlink r:id="rId109">
        <w:r>
          <w:rPr>
            <w:lang w:val="id_ID" w:bidi="id_ID"/>
          </w:rPr>
          <w:rPr>
            <w:color w:val="0000EE"/>
            <w:u w:val="single"/>
          </w:rPr>
          <w:t>1:22</w:t>
        </w:r>
      </w:hyperlink>
      <w:r>
        <w:rPr>
          <w:lang w:val="id_ID" w:bidi="id_ID"/>
        </w:rPr>
        <w:t xml:space="preserve">; </w:t>
      </w:r>
      <w:hyperlink r:id="rId110">
        <w:r>
          <w:rPr>
            <w:lang w:val="id_ID" w:bidi="id_ID"/>
          </w:rPr>
          <w:rPr>
            <w:color w:val="0000EE"/>
            <w:u w:val="single"/>
          </w:rPr>
          <w:t>4:41</w:t>
        </w:r>
      </w:hyperlink>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hyperlink r:id="rId111">
        <w:r>
          <w:rPr>
            <w:lang w:val="id_ID" w:bidi="id_ID"/>
          </w:rPr>
          <w:rPr>
            <w:color w:val="0000EE"/>
            <w:u w:val="single"/>
          </w:rPr>
          <w:t>Mrk. 2:19–20</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33">
        <w:r>
          <w:rPr>
            <w:lang w:val="id_ID" w:bidi="id_ID"/>
          </w:rPr>
          <w:rPr>
            <w:color w:val="0000EE"/>
            <w:u w:val="single"/>
          </w:rPr>
          <w:t>8:31</w:t>
        </w:r>
      </w:hyperlink>
      <w:r>
        <w:rPr>
          <w:lang w:val="id_ID" w:bidi="id_ID"/>
        </w:rPr>
        <w:t xml:space="preserve">; </w:t>
      </w:r>
      <w:hyperlink r:id="rId112">
        <w:r>
          <w:rPr>
            <w:lang w:val="id_ID" w:bidi="id_ID"/>
          </w:rPr>
          <w:rPr>
            <w:color w:val="0000EE"/>
            <w:u w:val="single"/>
          </w:rPr>
          <w:t>9:9</w:t>
        </w:r>
      </w:hyperlink>
      <w:r>
        <w:rPr>
          <w:lang w:val="id_ID" w:bidi="id_ID"/>
        </w:rPr>
        <w:t xml:space="preserve">, </w:t>
      </w:r>
      <w:hyperlink r:id="rId113">
        <w:r>
          <w:rPr>
            <w:lang w:val="id_ID" w:bidi="id_ID"/>
          </w:rPr>
          <w:rPr>
            <w:color w:val="0000EE"/>
            <w:u w:val="single"/>
          </w:rPr>
          <w:t>12</w:t>
        </w:r>
      </w:hyperlink>
      <w:r>
        <w:rPr>
          <w:lang w:val="id_ID" w:bidi="id_ID"/>
        </w:rPr>
        <w:t xml:space="preserve">, </w:t>
      </w:r>
      <w:hyperlink r:id="rId114">
        <w:r>
          <w:rPr>
            <w:lang w:val="id_ID" w:bidi="id_ID"/>
          </w:rPr>
          <w:rPr>
            <w:color w:val="0000EE"/>
            <w:u w:val="single"/>
          </w:rPr>
          <w:t>31</w:t>
        </w:r>
      </w:hyperlink>
      <w:r>
        <w:rPr>
          <w:lang w:val="id_ID" w:bidi="id_ID"/>
        </w:rPr>
        <w:t xml:space="preserve">; </w:t>
      </w:r>
      <w:hyperlink r:id="rId115">
        <w:r>
          <w:rPr>
            <w:lang w:val="id_ID" w:bidi="id_ID"/>
          </w:rPr>
          <w:rPr>
            <w:color w:val="0000EE"/>
            <w:u w:val="single"/>
          </w:rPr>
          <w:t>10:33–34</w:t>
        </w:r>
      </w:hyperlink>
      <w:r>
        <w:rPr>
          <w:lang w:val="id_ID" w:bidi="id_ID"/>
        </w:rPr>
        <w:t xml:space="preserve">, </w:t>
      </w:r>
      <w:hyperlink r:id="rId116">
        <w:r>
          <w:rPr>
            <w:lang w:val="id_ID" w:bidi="id_ID"/>
          </w:rPr>
          <w:rPr>
            <w:color w:val="0000EE"/>
            <w:u w:val="single"/>
          </w:rPr>
          <w:t>45</w:t>
        </w:r>
      </w:hyperlink>
      <w:r>
        <w:rPr>
          <w:lang w:val="id_ID" w:bidi="id_ID"/>
        </w:rPr>
        <w:t xml:space="preserve">; </w:t>
      </w:r>
      <w:hyperlink r:id="rId117">
        <w:r>
          <w:rPr>
            <w:lang w:val="id_ID" w:bidi="id_ID"/>
          </w:rPr>
          <w:rPr>
            <w:color w:val="0000EE"/>
            <w:u w:val="single"/>
          </w:rPr>
          <w:t>12:1–11</w:t>
        </w:r>
      </w:hyperlink>
      <w:r>
        <w:rPr>
          <w:lang w:val="id_ID" w:bidi="id_ID"/>
        </w:rPr>
        <w:t xml:space="preserve">; </w:t>
      </w:r>
      <w:hyperlink r:id="rId118">
        <w:r>
          <w:rPr>
            <w:lang w:val="id_ID" w:bidi="id_ID"/>
          </w:rPr>
          <w:rPr>
            <w:color w:val="0000EE"/>
            <w:u w:val="single"/>
          </w:rPr>
          <w:t>14:1–11</w:t>
        </w:r>
      </w:hyperlink>
      <w:r>
        <w:rPr>
          <w:lang w:val="id_ID" w:bidi="id_ID"/>
        </w:rPr>
        <w:t xml:space="preserve">, </w:t>
      </w:r>
      <w:hyperlink r:id="rId119">
        <w:r>
          <w:rPr>
            <w:lang w:val="id_ID" w:bidi="id_ID"/>
          </w:rPr>
          <w:rPr>
            <w:color w:val="0000EE"/>
            <w:u w:val="single"/>
          </w:rPr>
          <w:t>21</w:t>
        </w:r>
      </w:hyperlink>
      <w:r>
        <w:rPr>
          <w:lang w:val="id_ID" w:bidi="id_ID"/>
        </w:rPr>
        <w:t xml:space="preserve">, </w:t>
      </w:r>
      <w:hyperlink r:id="rId120">
        <w:r>
          <w:rPr>
            <w:lang w:val="id_ID" w:bidi="id_ID"/>
          </w:rPr>
          <w:rPr>
            <w:color w:val="0000EE"/>
            <w:u w:val="single"/>
          </w:rPr>
          <w:t>24–25</w:t>
        </w:r>
      </w:hyperlink>
      <w:r>
        <w:rPr>
          <w:lang w:val="id_ID" w:bidi="id_ID"/>
        </w:rPr>
        <w:t xml:space="preserve">, </w:t>
      </w:r>
      <w:hyperlink r:id="rId121">
        <w:r>
          <w:rPr>
            <w:lang w:val="id_ID" w:bidi="id_ID"/>
          </w:rPr>
          <w:rPr>
            <w:color w:val="0000EE"/>
            <w:u w:val="single"/>
          </w:rPr>
          <w:t>36</w:t>
        </w:r>
      </w:hyperlink>
      <w:r>
        <w:rPr>
          <w:lang w:val="id_ID" w:bidi="id_ID"/>
        </w:rPr>
        <w:t xml:space="preserve">, </w:t>
      </w:r>
      <w:hyperlink r:id="rId122">
        <w:r>
          <w:rPr>
            <w:lang w:val="id_ID" w:bidi="id_ID"/>
          </w:rPr>
          <w:rPr>
            <w:color w:val="0000EE"/>
            <w:u w:val="single"/>
          </w:rPr>
          <w:t>14:64–15:47</w:t>
        </w:r>
      </w:hyperlink>
      <w:r>
        <w:rPr>
          <w:lang w:val="id_ID" w:bidi="id_ID"/>
        </w:rPr>
        <w:t>). Markus menekankan bahwa kematian Yesus adalah bagian dari rencana Allah. Kematian-Nya adalah suatu keharusan (</w:t>
      </w:r>
      <w:hyperlink r:id="rId33">
        <w:r>
          <w:rPr>
            <w:lang w:val="id_ID" w:bidi="id_ID"/>
          </w:rPr>
          <w:rPr>
            <w:color w:val="0000EE"/>
            <w:u w:val="single"/>
          </w:rPr>
          <w:t>Mrk. 8:31</w:t>
        </w:r>
      </w:hyperlink>
      <w:r>
        <w:rPr>
          <w:lang w:val="id_ID" w:bidi="id_ID"/>
        </w:rPr>
        <w:t>), sebab Allah menghendakinya (</w:t>
      </w:r>
      <w:hyperlink r:id="rId116">
        <w:r>
          <w:rPr>
            <w:lang w:val="id_ID" w:bidi="id_ID"/>
          </w:rPr>
          <w:rPr>
            <w:color w:val="0000EE"/>
            <w:u w:val="single"/>
          </w:rPr>
          <w:t>Mrk. 10:45</w:t>
        </w:r>
      </w:hyperlink>
      <w:r>
        <w:rPr>
          <w:lang w:val="id_ID" w:bidi="id_ID"/>
        </w:rPr>
        <w:t xml:space="preserve">; </w:t>
      </w:r>
      <w:hyperlink r:id="rId121">
        <w:r>
          <w:rPr>
            <w:lang w:val="id_ID" w:bidi="id_ID"/>
          </w:rPr>
          <w:rPr>
            <w:color w:val="0000EE"/>
            <w:u w:val="single"/>
          </w:rPr>
          <w:t>14:36</w:t>
        </w:r>
      </w:hyperlink>
      <w:r>
        <w:rPr>
          <w:lang w:val="id_ID" w:bidi="id_ID"/>
        </w:rPr>
        <w:t xml:space="preserve">). Perjanjian Lama juga mengajarkan tentang kematian sang Mesias (baca </w:t>
      </w:r>
      <w:hyperlink r:id="rId113">
        <w:r>
          <w:rPr>
            <w:lang w:val="id_ID" w:bidi="id_ID"/>
          </w:rPr>
          <w:rPr>
            <w:color w:val="0000EE"/>
            <w:u w:val="single"/>
          </w:rPr>
          <w:t>Mrk. 9:12</w:t>
        </w:r>
      </w:hyperlink>
      <w:r>
        <w:rPr>
          <w:lang w:val="id_ID" w:bidi="id_ID"/>
        </w:rPr>
        <w:t xml:space="preserve">; </w:t>
      </w:r>
      <w:hyperlink r:id="rId119">
        <w:r>
          <w:rPr>
            <w:lang w:val="id_ID" w:bidi="id_ID"/>
          </w:rPr>
          <w:rPr>
            <w:color w:val="0000EE"/>
            <w:u w:val="single"/>
          </w:rPr>
          <w:t>14:21</w:t>
        </w:r>
      </w:hyperlink>
      <w:r>
        <w:rPr>
          <w:lang w:val="id_ID" w:bidi="id_ID"/>
        </w:rPr>
        <w:t xml:space="preserve">, </w:t>
      </w:r>
      <w:hyperlink r:id="rId123">
        <w:r>
          <w:rPr>
            <w:lang w:val="id_ID" w:bidi="id_ID"/>
          </w:rPr>
          <w:rPr>
            <w:color w:val="0000EE"/>
            <w:u w:val="single"/>
          </w:rPr>
          <w:t>27</w:t>
        </w:r>
      </w:hyperlink>
      <w:r>
        <w:rPr>
          <w:lang w:val="id_ID" w:bidi="id_ID"/>
        </w:rPr>
        <w:t xml:space="preserve">, </w:t>
      </w:r>
      <w:hyperlink r:id="rId124">
        <w:r>
          <w:rPr>
            <w:lang w:val="id_ID" w:bidi="id_ID"/>
          </w:rPr>
          <w:rPr>
            <w:color w:val="0000EE"/>
            <w:u w:val="single"/>
          </w:rPr>
          <w:t>49</w:t>
        </w:r>
      </w:hyperlink>
      <w:r>
        <w:rPr>
          <w:lang w:val="id_ID" w:bidi="id_ID"/>
        </w:rPr>
        <w:t>). Yesus menyerahkan nyawa-Nya sebagai tebusan bagi banyak orang (</w:t>
      </w:r>
      <w:hyperlink r:id="rId116">
        <w:r>
          <w:rPr>
            <w:lang w:val="id_ID" w:bidi="id_ID"/>
          </w:rPr>
          <w:rPr>
            <w:color w:val="0000EE"/>
            <w:u w:val="single"/>
          </w:rPr>
          <w:t>Mrk. 10:45</w:t>
        </w:r>
      </w:hyperlink>
      <w:r>
        <w:rPr>
          <w:lang w:val="id_ID" w:bidi="id_ID"/>
        </w:rPr>
        <w:t>) dan mencurahkan darah-Nya dengan berkorban untuk mengesahkan perjanjian yang baru (</w:t>
      </w:r>
      <w:hyperlink r:id="rId125">
        <w:r>
          <w:rPr>
            <w:lang w:val="id_ID" w:bidi="id_ID"/>
          </w:rPr>
          <w:rPr>
            <w:color w:val="0000EE"/>
            <w:u w:val="single"/>
          </w:rPr>
          <w:t>Mrk. 14:24</w:t>
        </w:r>
      </w:hyperlink>
      <w:r>
        <w:rPr>
          <w:lang w:val="id_ID" w:bidi="id_ID"/>
        </w:rPr>
        <w:t>).</w:t>
      </w:r>
    </w:p>
    <w:p>
      <w:pPr/>
      <w:r>
        <w:rPr>
          <w:lang w:val="id_ID" w:bidi="id_ID"/>
        </w:rPr>
      </w:r>
      <w:r>
        <w:rPr>
          <w:lang w:val="id_ID" w:bidi="id_ID"/>
        </w:rPr>
        <w:t xml:space="preserve">Kemuridan Kristen. Markus menekankan pentingnya mengikut Yesus dengan menyangkal diri dan memikul salib (baca </w:t>
      </w:r>
      <w:hyperlink r:id="rId126">
        <w:r>
          <w:rPr>
            <w:lang w:val="id_ID" w:bidi="id_ID"/>
          </w:rPr>
          <w:rPr>
            <w:color w:val="0000EE"/>
            <w:u w:val="single"/>
          </w:rPr>
          <w:t>Mrk. 8:34</w:t>
        </w:r>
      </w:hyperlink>
      <w:r>
        <w:rPr>
          <w:lang w:val="id_ID" w:bidi="id_ID"/>
        </w:rPr>
        <w:t>). Kemuridan Kristen tidak mengizinkan respons setengah hati tetapi menuntut seorang meninggalkan segala sesuatu untuk mengikut Yesus (</w:t>
      </w:r>
      <w:hyperlink r:id="rId127">
        <w:r>
          <w:rPr>
            <w:lang w:val="id_ID" w:bidi="id_ID"/>
          </w:rPr>
          <w:rPr>
            <w:color w:val="0000EE"/>
            <w:u w:val="single"/>
          </w:rPr>
          <w:t>Mrk. 1:18</w:t>
        </w:r>
      </w:hyperlink>
      <w:r>
        <w:rPr>
          <w:lang w:val="id_ID" w:bidi="id_ID"/>
        </w:rPr>
        <w:t xml:space="preserve">, </w:t>
      </w:r>
      <w:hyperlink r:id="rId128">
        <w:r>
          <w:rPr>
            <w:lang w:val="id_ID" w:bidi="id_ID"/>
          </w:rPr>
          <w:rPr>
            <w:color w:val="0000EE"/>
            <w:u w:val="single"/>
          </w:rPr>
          <w:t>20</w:t>
        </w:r>
      </w:hyperlink>
      <w:r>
        <w:rPr>
          <w:lang w:val="id_ID" w:bidi="id_ID"/>
        </w:rPr>
        <w:t xml:space="preserve">; </w:t>
      </w:r>
      <w:hyperlink r:id="rId129">
        <w:r>
          <w:rPr>
            <w:lang w:val="id_ID" w:bidi="id_ID"/>
          </w:rPr>
          <w:rPr>
            <w:color w:val="0000EE"/>
            <w:u w:val="single"/>
          </w:rPr>
          <w:t>10:21</w:t>
        </w:r>
      </w:hyperlink>
      <w:r>
        <w:rPr>
          <w:lang w:val="id_ID" w:bidi="id_ID"/>
        </w:rPr>
        <w:t xml:space="preserve">, </w:t>
      </w:r>
      <w:hyperlink r:id="rId130">
        <w:r>
          <w:rPr>
            <w:lang w:val="id_ID" w:bidi="id_ID"/>
          </w:rPr>
          <w:rPr>
            <w:color w:val="0000EE"/>
            <w:u w:val="single"/>
          </w:rPr>
          <w:t>29</w:t>
        </w:r>
      </w:hyperlink>
      <w:r>
        <w:rPr>
          <w:lang w:val="id_ID" w:bidi="id_ID"/>
        </w:rPr>
        <w:t>). Kemuridan Kristen bahkan mendatangkan penganiayaan dan kemartiran (</w:t>
      </w:r>
      <w:hyperlink r:id="rId52">
        <w:r>
          <w:rPr>
            <w:lang w:val="id_ID" w:bidi="id_ID"/>
          </w:rPr>
          <w:rPr>
            <w:color w:val="0000EE"/>
            <w:u w:val="single"/>
          </w:rPr>
          <w:t>Mrk. 13:9–13</w:t>
        </w:r>
      </w:hyperlink>
      <w:r>
        <w:rPr>
          <w:lang w:val="id_ID" w:bidi="id_ID"/>
        </w:rPr>
        <w:t>a), tetapi orang-orang Kristen dijanjikan bahwa bertahan dalam iman akan membuahkan keselamatan (</w:t>
      </w:r>
      <w:hyperlink r:id="rId131">
        <w:r>
          <w:rPr>
            <w:lang w:val="id_ID" w:bidi="id_ID"/>
          </w:rPr>
          <w:rPr>
            <w:color w:val="0000EE"/>
            <w:u w:val="single"/>
          </w:rPr>
          <w:t>Mrk. 13:13</w:t>
        </w:r>
      </w:hyperlink>
      <w:r>
        <w:rPr>
          <w:lang w:val="id_ID" w:bidi="id_ID"/>
        </w:rPr>
        <w:t>) dan kehidupan kekal (</w:t>
      </w:r>
      <w:hyperlink r:id="rId51">
        <w:r>
          <w:rPr>
            <w:lang w:val="id_ID" w:bidi="id_ID"/>
          </w:rPr>
          <w:rPr>
            <w:color w:val="0000EE"/>
            <w:u w:val="single"/>
          </w:rPr>
          <w:t>Mrk. 10:30</w:t>
        </w:r>
      </w:hyperlink>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2">
        <w:r>
          <w:rPr>
            <w:lang w:val="id_ID" w:bidi="id_ID"/>
          </w:rPr>
          <w:rPr>
            <w:color w:val="0000EE"/>
            <w:u w:val="single"/>
          </w:rPr>
          <w:t>Mrk. 7:36</w:t>
        </w:r>
      </w:hyperlink>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hyperlink r:id="rId75">
        <w:r>
          <w:rPr>
            <w:lang w:val="id_ID" w:bidi="id_ID"/>
          </w:rPr>
          <w:rPr>
            <w:color w:val="0000EE"/>
            <w:u w:val="single"/>
          </w:rPr>
          <w:t>Mrk. 1:14–15</w:t>
        </w:r>
      </w:hyperlink>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