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hyperlink r:id="rId13">
        <w:r>
          <w:rPr>
            <w:lang w:val="es_ES" w:bidi="es_ES"/>
          </w:rPr>
          <w:rPr>
            <w:color w:val="0000EE"/>
            <w:u w:val="single"/>
          </w:rPr>
          <w:t>Éxodo 20–23</w:t>
        </w:r>
      </w:hyperlink>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4">
        <w:r>
          <w:rPr>
            <w:lang w:val="es_ES" w:bidi="es_ES"/>
          </w:rPr>
          <w:rPr>
            <w:color w:val="0000EE"/>
            <w:u w:val="single"/>
          </w:rPr>
          <w:t>Éxodo 19–24</w:t>
        </w:r>
      </w:hyperlink>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hyperlink r:id="rId15">
        <w:r>
          <w:rPr>
            <w:lang w:val="es_ES" w:bidi="es_ES"/>
          </w:rPr>
          <w:rPr>
            <w:color w:val="0000EE"/>
            <w:u w:val="single"/>
          </w:rPr>
          <w:t>1:1–5</w:t>
        </w:r>
      </w:hyperlink>
      <w:r>
        <w:rPr>
          <w:lang w:val="es_ES" w:bidi="es_ES"/>
        </w:rPr>
        <w:t xml:space="preserve"> Preámbulo del pacto</w:t>
      </w:r>
    </w:p>
    <w:p>
      <w:pPr>
        <w:pStyle w:val="ListBullet"/>
        <w:spacing w:line="240" w:lineRule="auto"/>
        <w:ind w:left="720"/>
      </w:pPr>
      <w:r>
        <w:rPr>
          <w:lang w:val="es_ES" w:bidi="es_ES"/>
        </w:rPr>
      </w:r>
      <w:hyperlink r:id="rId16">
        <w:r>
          <w:rPr>
            <w:lang w:val="es_ES" w:bidi="es_ES"/>
          </w:rPr>
          <w:rPr>
            <w:color w:val="0000EE"/>
            <w:u w:val="single"/>
          </w:rPr>
          <w:t>1:6–4:49</w:t>
        </w:r>
      </w:hyperlink>
      <w:r>
        <w:rPr>
          <w:lang w:val="es_ES" w:bidi="es_ES"/>
        </w:rPr>
        <w:t xml:space="preserve"> Prólogo histórico</w:t>
      </w:r>
    </w:p>
    <w:p>
      <w:pPr>
        <w:pStyle w:val="ListBullet"/>
        <w:spacing w:line="240" w:lineRule="auto"/>
        <w:ind w:left="720"/>
      </w:pPr>
      <w:r>
        <w:rPr>
          <w:lang w:val="es_ES" w:bidi="es_ES"/>
        </w:rPr>
      </w:r>
      <w:hyperlink r:id="rId17">
        <w:r>
          <w:rPr>
            <w:lang w:val="es_ES" w:bidi="es_ES"/>
          </w:rPr>
          <w:rPr>
            <w:color w:val="0000EE"/>
            <w:u w:val="single"/>
          </w:rPr>
          <w:t>5:1–26:15</w:t>
        </w:r>
      </w:hyperlink>
      <w:r>
        <w:rPr>
          <w:lang w:val="es_ES" w:bidi="es_ES"/>
        </w:rPr>
        <w:t xml:space="preserve"> Estipulaciones del pacto</w:t>
      </w:r>
    </w:p>
    <w:p>
      <w:pPr>
        <w:pStyle w:val="ListBullet"/>
        <w:spacing w:line="240" w:lineRule="auto"/>
        <w:ind w:left="720"/>
      </w:pPr>
      <w:r>
        <w:rPr>
          <w:lang w:val="es_ES" w:bidi="es_ES"/>
        </w:rPr>
      </w:r>
      <w:hyperlink r:id="rId18">
        <w:r>
          <w:rPr>
            <w:lang w:val="es_ES" w:bidi="es_ES"/>
          </w:rPr>
          <w:rPr>
            <w:color w:val="0000EE"/>
            <w:u w:val="single"/>
          </w:rPr>
          <w:t>26:16–29:1</w:t>
        </w:r>
      </w:hyperlink>
      <w:r>
        <w:rPr>
          <w:lang w:val="es_ES" w:bidi="es_ES"/>
        </w:rPr>
        <w:t xml:space="preserve"> Bendiciones por obediencia y maldiciones por desobediencia</w:t>
      </w:r>
    </w:p>
    <w:p>
      <w:pPr>
        <w:pStyle w:val="ListBullet"/>
        <w:spacing w:line="240" w:lineRule="auto"/>
        <w:ind w:left="720"/>
      </w:pPr>
      <w:r>
        <w:rPr>
          <w:lang w:val="es_ES" w:bidi="es_ES"/>
        </w:rPr>
      </w:r>
      <w:hyperlink r:id="rId19">
        <w:r>
          <w:rPr>
            <w:lang w:val="es_ES" w:bidi="es_ES"/>
          </w:rPr>
          <w:rPr>
            <w:color w:val="0000EE"/>
            <w:u w:val="single"/>
          </w:rPr>
          <w:t>29:2–30:20</w:t>
        </w:r>
      </w:hyperlink>
      <w:r>
        <w:rPr>
          <w:lang w:val="es_ES" w:bidi="es_ES"/>
        </w:rPr>
        <w:t xml:space="preserve"> Revisión del pacto y elección entre la vida y la muerte</w:t>
      </w:r>
    </w:p>
    <w:p>
      <w:pPr>
        <w:pStyle w:val="ListBullet"/>
        <w:spacing w:line="240" w:lineRule="auto"/>
        <w:ind w:left="720"/>
      </w:pPr>
      <w:r>
        <w:rPr>
          <w:lang w:val="es_ES" w:bidi="es_ES"/>
        </w:rPr>
      </w:r>
      <w:hyperlink r:id="rId20">
        <w:r>
          <w:rPr>
            <w:lang w:val="es_ES" w:bidi="es_ES"/>
          </w:rPr>
          <w:rPr>
            <w:color w:val="0000EE"/>
            <w:u w:val="single"/>
          </w:rPr>
          <w:t>31:1–29</w:t>
        </w:r>
      </w:hyperlink>
      <w:r>
        <w:rPr>
          <w:lang w:val="es_ES" w:bidi="es_ES"/>
        </w:rPr>
        <w:t xml:space="preserve"> Depósito del texto del pacto</w:t>
      </w:r>
    </w:p>
    <w:p>
      <w:pPr>
        <w:pStyle w:val="ListBullet"/>
        <w:spacing w:line="240" w:lineRule="auto"/>
        <w:ind w:left="720"/>
      </w:pPr>
      <w:r>
        <w:rPr>
          <w:lang w:val="es_ES" w:bidi="es_ES"/>
        </w:rPr>
      </w:r>
      <w:hyperlink r:id="rId21">
        <w:r>
          <w:rPr>
            <w:lang w:val="es_ES" w:bidi="es_ES"/>
          </w:rPr>
          <w:rPr>
            <w:color w:val="0000EE"/>
            <w:u w:val="single"/>
          </w:rPr>
          <w:t>31:30–32:43</w:t>
        </w:r>
      </w:hyperlink>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hyperlink r:id="rId22">
        <w:r>
          <w:rPr>
            <w:lang w:val="es_ES" w:bidi="es_ES"/>
          </w:rPr>
          <w:rPr>
            <w:color w:val="0000EE"/>
            <w:u w:val="single"/>
          </w:rPr>
          <w:t>1 Reyes 2:3,</w:t>
        </w:r>
      </w:hyperlink>
      <w:r>
        <w:rPr>
          <w:lang w:val="es_ES" w:bidi="es_ES"/>
        </w:rPr>
        <w:t xml:space="preserve"> </w:t>
      </w:r>
      <w:hyperlink r:id="rId23">
        <w:r>
          <w:rPr>
            <w:lang w:val="es_ES" w:bidi="es_ES"/>
          </w:rPr>
          <w:rPr>
            <w:color w:val="0000EE"/>
            <w:u w:val="single"/>
          </w:rPr>
          <w:t>2 Reyes 14:6,</w:t>
        </w:r>
      </w:hyperlink>
      <w:r>
        <w:rPr>
          <w:lang w:val="es_ES" w:bidi="es_ES"/>
        </w:rPr>
        <w:t xml:space="preserve"> </w:t>
      </w:r>
      <w:hyperlink r:id="rId24">
        <w:r>
          <w:rPr>
            <w:lang w:val="es_ES" w:bidi="es_ES"/>
          </w:rPr>
          <w:rPr>
            <w:color w:val="0000EE"/>
            <w:u w:val="single"/>
          </w:rPr>
          <w:t>2 Crónicas 25:4,</w:t>
        </w:r>
      </w:hyperlink>
      <w:r>
        <w:rPr>
          <w:lang w:val="es_ES" w:bidi="es_ES"/>
        </w:rPr>
        <w:t xml:space="preserve"> </w:t>
      </w:r>
      <w:hyperlink r:id="rId25">
        <w:r>
          <w:rPr>
            <w:lang w:val="es_ES" w:bidi="es_ES"/>
          </w:rPr>
          <w:rPr>
            <w:color w:val="0000EE"/>
            <w:u w:val="single"/>
          </w:rPr>
          <w:t>Esdras 3:2,</w:t>
        </w:r>
      </w:hyperlink>
      <w:r>
        <w:rPr>
          <w:lang w:val="es_ES" w:bidi="es_ES"/>
        </w:rPr>
        <w:t xml:space="preserve"> </w:t>
      </w:r>
      <w:hyperlink r:id="rId26">
        <w:r>
          <w:rPr>
            <w:lang w:val="es_ES" w:bidi="es_ES"/>
          </w:rPr>
          <w:rPr>
            <w:color w:val="0000EE"/>
            <w:u w:val="single"/>
          </w:rPr>
          <w:t>Mateo 19:7,</w:t>
        </w:r>
      </w:hyperlink>
      <w:r>
        <w:rPr>
          <w:lang w:val="es_ES" w:bidi="es_ES"/>
        </w:rPr>
        <w:t xml:space="preserve"> </w:t>
      </w:r>
      <w:hyperlink r:id="rId27">
        <w:r>
          <w:rPr>
            <w:lang w:val="es_ES" w:bidi="es_ES"/>
          </w:rPr>
          <w:rPr>
            <w:color w:val="0000EE"/>
            <w:u w:val="single"/>
          </w:rPr>
          <w:t>Marcos 12:19,</w:t>
        </w:r>
      </w:hyperlink>
      <w:r>
        <w:rPr>
          <w:lang w:val="es_ES" w:bidi="es_ES"/>
        </w:rPr>
        <w:t xml:space="preserve"> </w:t>
      </w:r>
      <w:hyperlink r:id="rId28">
        <w:r>
          <w:rPr>
            <w:lang w:val="es_ES" w:bidi="es_ES"/>
          </w:rPr>
          <w:rPr>
            <w:color w:val="0000EE"/>
            <w:u w:val="single"/>
          </w:rPr>
          <w:t>Lucas 20:28,</w:t>
        </w:r>
      </w:hyperlink>
      <w:r>
        <w:rPr>
          <w:lang w:val="es_ES" w:bidi="es_ES"/>
        </w:rPr>
        <w:t xml:space="preserve"> </w:t>
      </w:r>
      <w:hyperlink r:id="rId29">
        <w:r>
          <w:rPr>
            <w:lang w:val="es_ES" w:bidi="es_ES"/>
          </w:rPr>
          <w:rPr>
            <w:color w:val="0000EE"/>
            <w:u w:val="single"/>
          </w:rPr>
          <w:t>Hechos 3:22–23,</w:t>
        </w:r>
      </w:hyperlink>
      <w:r>
        <w:rPr>
          <w:lang w:val="es_ES" w:bidi="es_ES"/>
        </w:rPr>
        <w:t xml:space="preserve"> </w:t>
      </w:r>
      <w:hyperlink r:id="rId30">
        <w:r>
          <w:rPr>
            <w:lang w:val="es_ES" w:bidi="es_ES"/>
          </w:rPr>
          <w:rPr>
            <w:color w:val="0000EE"/>
            <w:u w:val="single"/>
          </w:rPr>
          <w:t>Romanos 10:19,</w:t>
        </w:r>
      </w:hyperlink>
      <w:r>
        <w:rPr>
          <w:lang w:val="es_ES" w:bidi="es_ES"/>
        </w:rPr>
        <w:t xml:space="preserve"> </w:t>
      </w:r>
      <w:hyperlink r:id="rId31">
        <w:r>
          <w:rPr>
            <w:lang w:val="es_ES" w:bidi="es_ES"/>
          </w:rPr>
          <w:rPr>
            <w:color w:val="0000EE"/>
            <w:u w:val="single"/>
          </w:rPr>
          <w:t>1 Corintios 9:9</w:t>
        </w:r>
      </w:hyperlink>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2">
        <w:r>
          <w:rPr>
            <w:lang w:val="es_ES" w:bidi="es_ES"/>
          </w:rPr>
          <w:rPr>
            <w:color w:val="0000EE"/>
            <w:u w:val="single"/>
          </w:rPr>
          <w:t>2 Reyes 22:8–20</w:t>
        </w:r>
      </w:hyperlink>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hyperlink r:id="rId33">
        <w:r>
          <w:rPr>
            <w:lang w:val="es_ES" w:bidi="es_ES"/>
          </w:rPr>
          <w:rPr>
            <w:color w:val="0000EE"/>
            <w:u w:val="single"/>
          </w:rPr>
          <w:t>34:5–12</w:t>
        </w:r>
      </w:hyperlink>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4">
        <w:r>
          <w:rPr>
            <w:lang w:val="es_ES" w:bidi="es_ES"/>
          </w:rPr>
          <w:rPr>
            <w:color w:val="0000EE"/>
            <w:u w:val="single"/>
          </w:rPr>
          <w:t>Éxodo 4:22–23</w:t>
        </w:r>
      </w:hyperlink>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hyperlink r:id="rId35">
        <w:r>
          <w:rPr>
            <w:lang w:val="es_ES" w:bidi="es_ES"/>
          </w:rPr>
          <w:rPr>
            <w:color w:val="0000EE"/>
            <w:u w:val="single"/>
          </w:rPr>
          <w:t>Éxodo 19:7–8</w:t>
        </w:r>
      </w:hyperlink>
      <w:r>
        <w:rPr>
          <w:lang w:val="es_ES" w:bidi="es_ES"/>
        </w:rPr>
        <w:t>). Una vez que lo aceptaron, la distribución de bendiciones y maldiciones, como se describe en el pacto, dependía de si obedecían o desobedecían (</w:t>
      </w:r>
      <w:hyperlink r:id="rId36">
        <w:r>
          <w:rPr>
            <w:lang w:val="es_ES" w:bidi="es_ES"/>
          </w:rPr>
          <w:rPr>
            <w:color w:val="0000EE"/>
            <w:u w:val="single"/>
          </w:rPr>
          <w:t>28:1–6</w:t>
        </w:r>
      </w:hyperlink>
      <w:r>
        <w:rPr>
          <w:lang w:val="es_ES" w:bidi="es_ES"/>
        </w:rPr>
        <w:t xml:space="preserve">, </w:t>
      </w:r>
      <w:hyperlink r:id="rId37">
        <w:r>
          <w:rPr>
            <w:lang w:val="es_ES" w:bidi="es_ES"/>
          </w:rPr>
          <w:rPr>
            <w:color w:val="0000EE"/>
            <w:u w:val="single"/>
          </w:rPr>
          <w:t>15–19</w:t>
        </w:r>
      </w:hyperlink>
      <w:r>
        <w:rPr>
          <w:lang w:val="es_ES" w:bidi="es_ES"/>
        </w:rPr>
        <w:t>). Sin embargo, incluso la desobediencia podría superarse si la nación se arrepintiera, regresara y fuera restaurada a la comunión del pacto (</w:t>
      </w:r>
      <w:hyperlink r:id="rId38">
        <w:r>
          <w:rPr>
            <w:lang w:val="es_ES" w:bidi="es_ES"/>
          </w:rPr>
          <w:rPr>
            <w:color w:val="0000EE"/>
            <w:u w:val="single"/>
          </w:rPr>
          <w:t>30:1–10</w:t>
        </w:r>
      </w:hyperlink>
      <w:r>
        <w:rPr>
          <w:lang w:val="es_ES" w:bidi="es_ES"/>
        </w:rPr>
        <w:t xml:space="preserve">; ver también </w:t>
      </w:r>
      <w:hyperlink r:id="rId39">
        <w:r>
          <w:rPr>
            <w:lang w:val="es_ES" w:bidi="es_ES"/>
          </w:rPr>
          <w:rPr>
            <w:color w:val="0000EE"/>
            <w:u w:val="single"/>
          </w:rPr>
          <w:t>Lv 26:40–45</w:t>
        </w:r>
      </w:hyperlink>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hyperlink r:id="rId40">
        <w:r>
          <w:rPr>
            <w:lang w:val="es_ES" w:bidi="es_ES"/>
          </w:rPr>
          <w:rPr>
            <w:color w:val="0000EE"/>
            <w:u w:val="single"/>
          </w:rPr>
          <w:t>Gn 17:1–8</w:t>
        </w:r>
      </w:hyperlink>
      <w:r>
        <w:rPr>
          <w:lang w:val="es_ES" w:bidi="es_ES"/>
        </w:rPr>
        <w:t>). El pacto hecho en el Sinaí le dio a Israel el privilegio de servir al Señor como un reino de sacerdotes (</w:t>
      </w:r>
      <w:hyperlink r:id="rId41">
        <w:r>
          <w:rPr>
            <w:lang w:val="es_ES" w:bidi="es_ES"/>
          </w:rPr>
          <w:rPr>
            <w:color w:val="0000EE"/>
            <w:u w:val="single"/>
          </w:rPr>
          <w:t>Éxodo 19:4–6</w:t>
        </w:r>
      </w:hyperlink>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