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hyperlink r:id="rId13">
        <w:r>
          <w:rPr>
            <w:lang w:val="id_ID" w:bidi="id_ID"/>
          </w:rPr>
          <w:rPr>
            <w:color w:val="0000EE"/>
            <w:u w:val="single"/>
          </w:rPr>
          <w:t>Yoh. 20:31</w:t>
        </w:r>
      </w:hyperlink>
      <w:r>
        <w:rPr>
          <w:lang w:val="id_ID" w:bidi="id_ID"/>
        </w:rPr>
        <w:t>). Ia menyadari bahwa mereka tidak memiliki kesempatan untuk melihat banyak tanda dan mukjizat Yesus seperti yang telah ia alami (</w:t>
      </w:r>
      <w:hyperlink r:id="rId14">
        <w:r>
          <w:rPr>
            <w:lang w:val="id_ID" w:bidi="id_ID"/>
          </w:rPr>
          <w:rPr>
            <w:color w:val="0000EE"/>
            <w:u w:val="single"/>
          </w:rPr>
          <w:t>Yoh. 20:29</w:t>
        </w:r>
      </w:hyperlink>
      <w:r>
        <w:rPr>
          <w:lang w:val="id_ID" w:bidi="id_ID"/>
        </w:rPr>
        <w:t>). Kewenangan yang dimiliki Yohanes dan pengalamannya bersama Yesus tampak jelas dalam setiap kisah yang ia ceritakan. Sebagai saksi mata atas kehidupan Yesus (</w:t>
      </w:r>
      <w:hyperlink r:id="rId15">
        <w:r>
          <w:rPr>
            <w:lang w:val="id_ID" w:bidi="id_ID"/>
          </w:rPr>
          <w:rPr>
            <w:color w:val="0000EE"/>
            <w:u w:val="single"/>
          </w:rPr>
          <w:t>Yoh. 19:35</w:t>
        </w:r>
      </w:hyperlink>
      <w:r>
        <w:rPr>
          <w:lang w:val="id_ID" w:bidi="id_ID"/>
        </w:rPr>
        <w:t xml:space="preserve">), Yohanes telah mendengar, melihat, dan menyentuh sang Firman kehidupan (baca </w:t>
      </w:r>
      <w:hyperlink r:id="rId16">
        <w:r>
          <w:rPr>
            <w:lang w:val="id_ID" w:bidi="id_ID"/>
          </w:rPr>
          <w:rPr>
            <w:color w:val="0000EE"/>
            <w:u w:val="single"/>
          </w:rPr>
          <w:t>1Yoh. 1:1–4</w:t>
        </w:r>
      </w:hyperlink>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hyperlink r:id="rId17">
        <w:r>
          <w:rPr>
            <w:lang w:val="id_ID" w:bidi="id_ID"/>
          </w:rPr>
          <w:rPr>
            <w:color w:val="0000EE"/>
            <w:u w:val="single"/>
          </w:rPr>
          <w:t>1</w:t>
        </w:r>
      </w:hyperlink>
      <w:r>
        <w:rPr>
          <w:lang w:val="id_ID" w:bidi="id_ID"/>
        </w:rPr>
        <w:t xml:space="preserve">, </w:t>
      </w:r>
      <w:hyperlink r:id="rId18">
        <w:r>
          <w:rPr>
            <w:lang w:val="id_ID" w:bidi="id_ID"/>
          </w:rPr>
          <w:rPr>
            <w:color w:val="0000EE"/>
            <w:u w:val="single"/>
          </w:rPr>
          <w:t>2</w:t>
        </w:r>
      </w:hyperlink>
      <w:r>
        <w:rPr>
          <w:lang w:val="id_ID" w:bidi="id_ID"/>
        </w:rPr>
        <w:t xml:space="preserve">, dan </w:t>
      </w:r>
      <w:hyperlink r:id="rId19">
        <w:r>
          <w:rPr>
            <w:lang w:val="id_ID" w:bidi="id_ID"/>
          </w:rPr>
          <w:rPr>
            <w:color w:val="0000EE"/>
            <w:u w:val="single"/>
          </w:rPr>
          <w:t>3 Yohanes</w:t>
        </w:r>
      </w:hyperlink>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hyperlink r:id="rId20">
        <w:r>
          <w:rPr>
            <w:lang w:val="id_ID" w:bidi="id_ID"/>
          </w:rPr>
          <w:rPr>
            <w:color w:val="0000EE"/>
            <w:u w:val="single"/>
          </w:rPr>
          <w:t>Pasal 1–12</w:t>
        </w:r>
      </w:hyperlink>
      <w:r>
        <w:rPr>
          <w:lang w:val="id_ID" w:bidi="id_ID"/>
        </w:rPr>
        <w:t xml:space="preserve"> Dan </w:t>
      </w:r>
      <w:hyperlink r:id="rId21">
        <w:r>
          <w:rPr>
            <w:lang w:val="id_ID" w:bidi="id_ID"/>
          </w:rPr>
          <w:rPr>
            <w:color w:val="0000EE"/>
            <w:u w:val="single"/>
          </w:rPr>
          <w:t>Pasal 13–21</w:t>
        </w:r>
      </w:hyperlink>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hyperlink r:id="rId22">
        <w:r>
          <w:rPr>
            <w:lang w:val="id_ID" w:bidi="id_ID"/>
          </w:rPr>
          <w:rPr>
            <w:color w:val="0000EE"/>
            <w:u w:val="single"/>
          </w:rPr>
          <w:t>1:1–18</w:t>
        </w:r>
      </w:hyperlink>
      <w:r>
        <w:rPr>
          <w:lang w:val="id_ID" w:bidi="id_ID"/>
        </w:rPr>
        <w:t>) secara artistik merangkum masuknya Firman Allah ke dalam dunia. Yesus dibaptis dan memanggil para pengikut awal-Nya (</w:t>
      </w:r>
      <w:hyperlink r:id="rId23">
        <w:r>
          <w:rPr>
            <w:lang w:val="id_ID" w:bidi="id_ID"/>
          </w:rPr>
          <w:rPr>
            <w:color w:val="0000EE"/>
            <w:u w:val="single"/>
          </w:rPr>
          <w:t>1:19–51</w:t>
        </w:r>
      </w:hyperlink>
      <w:r>
        <w:rPr>
          <w:lang w:val="id_ID" w:bidi="id_ID"/>
        </w:rPr>
        <w:t>). Lalu serangkaian peristiwa yang luar biasa (</w:t>
      </w:r>
      <w:hyperlink r:id="rId24">
        <w:r>
          <w:rPr>
            <w:lang w:val="id_ID" w:bidi="id_ID"/>
          </w:rPr>
          <w:rPr>
            <w:color w:val="0000EE"/>
            <w:u w:val="single"/>
          </w:rPr>
          <w:t>Pasal 2–4</w:t>
        </w:r>
      </w:hyperlink>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hyperlink r:id="rId25">
        <w:r>
          <w:rPr>
            <w:lang w:val="id_ID" w:bidi="id_ID"/>
          </w:rPr>
          <w:rPr>
            <w:color w:val="0000EE"/>
            <w:u w:val="single"/>
          </w:rPr>
          <w:t>Pasal 5–10</w:t>
        </w:r>
      </w:hyperlink>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hyperlink r:id="rId26">
        <w:r>
          <w:rPr>
            <w:lang w:val="id_ID" w:bidi="id_ID"/>
          </w:rPr>
          <w:rPr>
            <w:color w:val="0000EE"/>
            <w:u w:val="single"/>
          </w:rPr>
          <w:t>Pasal 11</w:t>
        </w:r>
      </w:hyperlink>
      <w:r>
        <w:rPr>
          <w:lang w:val="id_ID" w:bidi="id_ID"/>
        </w:rPr>
        <w:t>). Sahabatnya, Lazarus, meninggal, dan Yesus membangkitkannya. Setelah peristiwa yang luar biasa ini, Yesus menampakkan diri untuk terakhir kalinya kepada dunia agar mereka percaya kepada-Nya dan misi-Nya (</w:t>
      </w:r>
      <w:hyperlink r:id="rId27">
        <w:r>
          <w:rPr>
            <w:lang w:val="id_ID" w:bidi="id_ID"/>
          </w:rPr>
          <w:rPr>
            <w:color w:val="0000EE"/>
            <w:u w:val="single"/>
          </w:rPr>
          <w:t>Pasal 12</w:t>
        </w:r>
      </w:hyperlink>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hyperlink r:id="rId28">
        <w:r>
          <w:rPr>
            <w:lang w:val="id_ID" w:bidi="id_ID"/>
          </w:rPr>
          <w:rPr>
            <w:color w:val="0000EE"/>
            <w:u w:val="single"/>
          </w:rPr>
          <w:t>Pasal 13–17</w:t>
        </w:r>
      </w:hyperlink>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hyperlink r:id="rId29">
        <w:r>
          <w:rPr>
            <w:lang w:val="id_ID" w:bidi="id_ID"/>
          </w:rPr>
          <w:rPr>
            <w:color w:val="0000EE"/>
            <w:u w:val="single"/>
          </w:rPr>
          <w:t>Pasal 18</w:t>
        </w:r>
      </w:hyperlink>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hyperlink r:id="rId30">
        <w:r>
          <w:rPr>
            <w:lang w:val="id_ID" w:bidi="id_ID"/>
          </w:rPr>
          <w:rPr>
            <w:color w:val="0000EE"/>
            <w:u w:val="single"/>
          </w:rPr>
          <w:t>Pasal 19</w:t>
        </w:r>
      </w:hyperlink>
      <w:r>
        <w:rPr>
          <w:lang w:val="id_ID" w:bidi="id_ID"/>
        </w:rPr>
        <w:t>).</w:t>
      </w:r>
    </w:p>
    <w:p>
      <w:pPr/>
      <w:r>
        <w:rPr>
          <w:lang w:val="id_ID" w:bidi="id_ID"/>
        </w:rPr>
      </w:r>
      <w:r>
        <w:rPr>
          <w:lang w:val="id_ID" w:bidi="id_ID"/>
        </w:rPr>
        <w:t>Puncak dari Injil Yohanes adalah kebangkitan Yesus dari antara orang mati (</w:t>
      </w:r>
      <w:hyperlink r:id="rId31">
        <w:r>
          <w:rPr>
            <w:lang w:val="id_ID" w:bidi="id_ID"/>
          </w:rPr>
          <w:rPr>
            <w:color w:val="0000EE"/>
            <w:u w:val="single"/>
          </w:rPr>
          <w:t>Pasal 20</w:t>
        </w:r>
      </w:hyperlink>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hyperlink r:id="rId32">
        <w:r>
          <w:rPr>
            <w:lang w:val="id_ID" w:bidi="id_ID"/>
          </w:rPr>
          <w:rPr>
            <w:color w:val="0000EE"/>
            <w:u w:val="single"/>
          </w:rPr>
          <w:t>Pasal 21</w:t>
        </w:r>
      </w:hyperlink>
      <w:r>
        <w:rPr>
          <w:lang w:val="id_ID" w:bidi="id_ID"/>
        </w:rPr>
        <w:t>). Ia mengingatkan kita akan kuasa-Nya (</w:t>
      </w:r>
      <w:hyperlink r:id="rId33">
        <w:r>
          <w:rPr>
            <w:lang w:val="id_ID" w:bidi="id_ID"/>
          </w:rPr>
          <w:rPr>
            <w:color w:val="0000EE"/>
            <w:u w:val="single"/>
          </w:rPr>
          <w:t>21:1–14</w:t>
        </w:r>
      </w:hyperlink>
      <w:r>
        <w:rPr>
          <w:lang w:val="id_ID" w:bidi="id_ID"/>
        </w:rPr>
        <w:t>); menetapkan ulang Petrus, yang pernah menyangkali Dia (</w:t>
      </w:r>
      <w:hyperlink r:id="rId34">
        <w:r>
          <w:rPr>
            <w:lang w:val="id_ID" w:bidi="id_ID"/>
          </w:rPr>
          <w:rPr>
            <w:color w:val="0000EE"/>
            <w:u w:val="single"/>
          </w:rPr>
          <w:t>21:15–17</w:t>
        </w:r>
      </w:hyperlink>
      <w:r>
        <w:rPr>
          <w:lang w:val="id_ID" w:bidi="id_ID"/>
        </w:rPr>
        <w:t>); dan memerintahkan Petrus untuk mengikut Dia melakukan misi-Nya (</w:t>
      </w:r>
      <w:hyperlink r:id="rId35">
        <w:r>
          <w:rPr>
            <w:lang w:val="id_ID" w:bidi="id_ID"/>
          </w:rPr>
          <w:rPr>
            <w:color w:val="0000EE"/>
            <w:u w:val="single"/>
          </w:rPr>
          <w:t>21:18–19</w:t>
        </w:r>
      </w:hyperlink>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hyperlink r:id="rId36">
        <w:r>
          <w:rPr>
            <w:lang w:val="id_ID" w:bidi="id_ID"/>
          </w:rPr>
          <w:rPr>
            <w:color w:val="0000EE"/>
            <w:u w:val="single"/>
          </w:rPr>
          <w:t>13:23</w:t>
        </w:r>
      </w:hyperlink>
      <w:r>
        <w:rPr>
          <w:lang w:val="id_ID" w:bidi="id_ID"/>
        </w:rPr>
        <w:t xml:space="preserve">; </w:t>
      </w:r>
      <w:hyperlink r:id="rId37">
        <w:r>
          <w:rPr>
            <w:lang w:val="id_ID" w:bidi="id_ID"/>
          </w:rPr>
          <w:rPr>
            <w:color w:val="0000EE"/>
            <w:u w:val="single"/>
          </w:rPr>
          <w:t>19:26–27</w:t>
        </w:r>
      </w:hyperlink>
      <w:r>
        <w:rPr>
          <w:lang w:val="id_ID" w:bidi="id_ID"/>
        </w:rPr>
        <w:t xml:space="preserve">; </w:t>
      </w:r>
      <w:hyperlink r:id="rId38">
        <w:r>
          <w:rPr>
            <w:lang w:val="id_ID" w:bidi="id_ID"/>
          </w:rPr>
          <w:rPr>
            <w:color w:val="0000EE"/>
            <w:u w:val="single"/>
          </w:rPr>
          <w:t>20:2–10</w:t>
        </w:r>
      </w:hyperlink>
      <w:r>
        <w:rPr>
          <w:lang w:val="id_ID" w:bidi="id_ID"/>
        </w:rPr>
        <w:t xml:space="preserve">; </w:t>
      </w:r>
      <w:hyperlink r:id="rId39">
        <w:r>
          <w:rPr>
            <w:lang w:val="id_ID" w:bidi="id_ID"/>
          </w:rPr>
          <w:rPr>
            <w:color w:val="0000EE"/>
            <w:u w:val="single"/>
          </w:rPr>
          <w:t>21:7</w:t>
        </w:r>
      </w:hyperlink>
      <w:r>
        <w:rPr>
          <w:lang w:val="id_ID" w:bidi="id_ID"/>
        </w:rPr>
        <w:t xml:space="preserve">, </w:t>
      </w:r>
      <w:hyperlink r:id="rId40">
        <w:r>
          <w:rPr>
            <w:lang w:val="id_ID" w:bidi="id_ID"/>
          </w:rPr>
          <w:rPr>
            <w:color w:val="0000EE"/>
            <w:u w:val="single"/>
          </w:rPr>
          <w:t>20–24</w:t>
        </w:r>
      </w:hyperlink>
      <w:r>
        <w:rPr>
          <w:lang w:val="id_ID" w:bidi="id_ID"/>
        </w:rPr>
        <w:t>). Injil Yohanes pastilah terkait dengan orang itu, sebab ia dikenali sebagai sumber saksi mata atas catatan tentang kehidupan Yesus (</w:t>
      </w:r>
      <w:hyperlink r:id="rId15">
        <w:r>
          <w:rPr>
            <w:lang w:val="id_ID" w:bidi="id_ID"/>
          </w:rPr>
          <w:rPr>
            <w:color w:val="0000EE"/>
            <w:u w:val="single"/>
          </w:rPr>
          <w:t>19:35</w:t>
        </w:r>
      </w:hyperlink>
      <w:r>
        <w:rPr>
          <w:lang w:val="id_ID" w:bidi="id_ID"/>
        </w:rPr>
        <w:t xml:space="preserve">; </w:t>
      </w:r>
      <w:hyperlink r:id="rId40">
        <w:r>
          <w:rPr>
            <w:lang w:val="id_ID" w:bidi="id_ID"/>
          </w:rPr>
          <w:rPr>
            <w:color w:val="0000EE"/>
            <w:u w:val="single"/>
          </w:rPr>
          <w:t>21:20–24</w:t>
        </w:r>
      </w:hyperlink>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hyperlink r:id="rId41">
        <w:r>
          <w:rPr>
            <w:lang w:val="id_ID" w:bidi="id_ID"/>
          </w:rPr>
          <w:rPr>
            <w:color w:val="0000EE"/>
            <w:u w:val="single"/>
          </w:rPr>
          <w:t>Mat. 26:36–37</w:t>
        </w:r>
      </w:hyperlink>
      <w:r>
        <w:rPr>
          <w:lang w:val="id_ID" w:bidi="id_ID"/>
        </w:rPr>
        <w:t xml:space="preserve">; </w:t>
      </w:r>
      <w:hyperlink r:id="rId42">
        <w:r>
          <w:rPr>
            <w:lang w:val="id_ID" w:bidi="id_ID"/>
          </w:rPr>
          <w:rPr>
            <w:color w:val="0000EE"/>
            <w:u w:val="single"/>
          </w:rPr>
          <w:t>Mrk. 5:37</w:t>
        </w:r>
      </w:hyperlink>
      <w:r>
        <w:rPr>
          <w:lang w:val="id_ID" w:bidi="id_ID"/>
        </w:rPr>
        <w:t xml:space="preserve">; </w:t>
      </w:r>
      <w:hyperlink r:id="rId43">
        <w:r>
          <w:rPr>
            <w:lang w:val="id_ID" w:bidi="id_ID"/>
          </w:rPr>
          <w:rPr>
            <w:color w:val="0000EE"/>
            <w:u w:val="single"/>
          </w:rPr>
          <w:t>9:2</w:t>
        </w:r>
      </w:hyperlink>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hyperlink r:id="rId44">
        <w:r>
          <w:rPr>
            <w:lang w:val="id_ID" w:bidi="id_ID"/>
          </w:rPr>
          <w:rPr>
            <w:color w:val="0000EE"/>
            <w:u w:val="single"/>
          </w:rPr>
          <w:t>1:38</w:t>
        </w:r>
      </w:hyperlink>
      <w:r>
        <w:rPr>
          <w:lang w:val="id_ID" w:bidi="id_ID"/>
        </w:rPr>
        <w:t>), dan ia memberi nama alternatif untuk Danau Galilea (</w:t>
      </w:r>
      <w:hyperlink r:id="rId45">
        <w:r>
          <w:rPr>
            <w:lang w:val="id_ID" w:bidi="id_ID"/>
          </w:rPr>
          <w:rPr>
            <w:color w:val="0000EE"/>
            <w:u w:val="single"/>
          </w:rPr>
          <w:t>6:1</w:t>
        </w:r>
      </w:hyperlink>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hyperlink r:id="rId46">
        <w:r>
          <w:rPr>
            <w:lang w:val="id_ID" w:bidi="id_ID"/>
          </w:rPr>
          <w:rPr>
            <w:color w:val="0000EE"/>
            <w:u w:val="single"/>
          </w:rPr>
          <w:t>3:24</w:t>
        </w:r>
      </w:hyperlink>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hyperlink r:id="rId47">
        <w:r>
          <w:rPr>
            <w:lang w:val="id_ID" w:bidi="id_ID"/>
          </w:rPr>
          <w:rPr>
            <w:color w:val="0000EE"/>
            <w:u w:val="single"/>
          </w:rPr>
          <w:t>1:5</w:t>
        </w:r>
      </w:hyperlink>
      <w:r>
        <w:rPr>
          <w:lang w:val="id_ID" w:bidi="id_ID"/>
        </w:rPr>
        <w:t>). Terang Allah mendiami bumi: Kristus menyingkapkan Bapa (</w:t>
      </w:r>
      <w:hyperlink r:id="rId48">
        <w:r>
          <w:rPr>
            <w:lang w:val="id_ID" w:bidi="id_ID"/>
          </w:rPr>
          <w:rPr>
            <w:color w:val="0000EE"/>
            <w:u w:val="single"/>
          </w:rPr>
          <w:t>14:9</w:t>
        </w:r>
      </w:hyperlink>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hyperlink r:id="rId49">
        <w:r>
          <w:rPr>
            <w:lang w:val="id_ID" w:bidi="id_ID"/>
          </w:rPr>
          <w:rPr>
            <w:color w:val="0000EE"/>
            <w:u w:val="single"/>
          </w:rPr>
          <w:t>1:4</w:t>
        </w:r>
      </w:hyperlink>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hyperlink r:id="rId50">
        <w:r>
          <w:rPr>
            <w:lang w:val="id_ID" w:bidi="id_ID"/>
          </w:rPr>
          <w:rPr>
            <w:color w:val="0000EE"/>
            <w:u w:val="single"/>
          </w:rPr>
          <w:t>4:24</w:t>
        </w:r>
      </w:hyperlink>
      <w:r>
        <w:rPr>
          <w:lang w:val="id_ID" w:bidi="id_ID"/>
        </w:rPr>
        <w:t>), diberi kuasa dan wawasan oleh Roh Allah. Nikodemus harus dilahirkan dari “air dan roh” supaya ia dapat masuk ke dalam Kerajaan Allah (</w:t>
      </w:r>
      <w:hyperlink r:id="rId51">
        <w:r>
          <w:rPr>
            <w:lang w:val="id_ID" w:bidi="id_ID"/>
          </w:rPr>
          <w:rPr>
            <w:color w:val="0000EE"/>
            <w:u w:val="single"/>
          </w:rPr>
          <w:t>3:5</w:t>
        </w:r>
      </w:hyperlink>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hyperlink r:id="rId52">
        <w:r>
          <w:rPr>
            <w:lang w:val="id_ID" w:bidi="id_ID"/>
          </w:rPr>
          <w:rPr>
            <w:color w:val="0000EE"/>
            <w:u w:val="single"/>
          </w:rPr>
          <w:t>6:51–59</w:t>
        </w:r>
      </w:hyperlink>
      <w:r>
        <w:rPr>
          <w:lang w:val="id_ID" w:bidi="id_ID"/>
        </w:rPr>
        <w:t xml:space="preserve">). Namun, penyembahan yang hanya berfokus pada unsur-unsur individual dan tidak disertai oleh Roh Allah tidak ada artinya ( </w:t>
      </w:r>
      <w:hyperlink r:id="rId53">
        <w:r>
          <w:rPr>
            <w:lang w:val="id_ID" w:bidi="id_ID"/>
          </w:rPr>
          <w:rPr>
            <w:color w:val="0000EE"/>
            <w:u w:val="single"/>
          </w:rPr>
          <w:t>6:63</w:t>
        </w:r>
      </w:hyperlink>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hyperlink r:id="rId54">
        <w:r>
          <w:rPr>
            <w:lang w:val="id_ID" w:bidi="id_ID"/>
          </w:rPr>
          <w:rPr>
            <w:color w:val="0000EE"/>
            <w:u w:val="single"/>
          </w:rPr>
          <w:t>10:30</w:t>
        </w:r>
      </w:hyperlink>
      <w:r>
        <w:rPr>
          <w:lang w:val="id_ID" w:bidi="id_ID"/>
        </w:rPr>
        <w:t xml:space="preserve">; </w:t>
      </w:r>
      <w:hyperlink r:id="rId55">
        <w:r>
          <w:rPr>
            <w:lang w:val="id_ID" w:bidi="id_ID"/>
          </w:rPr>
          <w:rPr>
            <w:color w:val="0000EE"/>
            <w:u w:val="single"/>
          </w:rPr>
          <w:t>14:9–10</w:t>
        </w:r>
      </w:hyperlink>
      <w:r>
        <w:rPr>
          <w:lang w:val="id_ID" w:bidi="id_ID"/>
        </w:rPr>
        <w:t>), kesatuan rencana Mereka (</w:t>
      </w:r>
      <w:hyperlink r:id="rId56">
        <w:r>
          <w:rPr>
            <w:lang w:val="id_ID" w:bidi="id_ID"/>
          </w:rPr>
          <w:rPr>
            <w:color w:val="0000EE"/>
            <w:u w:val="single"/>
          </w:rPr>
          <w:t>5:17</w:t>
        </w:r>
      </w:hyperlink>
      <w:r>
        <w:rPr>
          <w:lang w:val="id_ID" w:bidi="id_ID"/>
        </w:rPr>
        <w:t xml:space="preserve">; </w:t>
      </w:r>
      <w:hyperlink r:id="rId57">
        <w:r>
          <w:rPr>
            <w:lang w:val="id_ID" w:bidi="id_ID"/>
          </w:rPr>
          <w:rPr>
            <w:color w:val="0000EE"/>
            <w:u w:val="single"/>
          </w:rPr>
          <w:t>8:42</w:t>
        </w:r>
      </w:hyperlink>
      <w:r>
        <w:rPr>
          <w:lang w:val="id_ID" w:bidi="id_ID"/>
        </w:rPr>
        <w:t>), dan keunikan pribadi Mereka (</w:t>
      </w:r>
      <w:hyperlink r:id="rId58">
        <w:r>
          <w:rPr>
            <w:lang w:val="id_ID" w:bidi="id_ID"/>
          </w:rPr>
          <w:rPr>
            <w:color w:val="0000EE"/>
            <w:u w:val="single"/>
          </w:rPr>
          <w:t>14:28</w:t>
        </w:r>
      </w:hyperlink>
      <w:r>
        <w:rPr>
          <w:lang w:val="id_ID" w:bidi="id_ID"/>
        </w:rPr>
        <w:t xml:space="preserve">; </w:t>
      </w:r>
      <w:hyperlink r:id="rId59">
        <w:r>
          <w:rPr>
            <w:lang w:val="id_ID" w:bidi="id_ID"/>
          </w:rPr>
          <w:rPr>
            <w:color w:val="0000EE"/>
            <w:u w:val="single"/>
          </w:rPr>
          <w:t>17:1–5</w:t>
        </w:r>
      </w:hyperlink>
      <w:r>
        <w:rPr>
          <w:lang w:val="id_ID" w:bidi="id_ID"/>
        </w:rPr>
        <w:t xml:space="preserve">). Bahkan, Yesus menggunakan gelar (““Akulah Aku“) yang dipakai Allah untuk diri-Nya sendiri di dalam Perjanjian Lama, dan karenanya, menegaskan keilahian-Nya (baca </w:t>
      </w:r>
      <w:hyperlink r:id="rId60">
        <w:r>
          <w:rPr>
            <w:lang w:val="id_ID" w:bidi="id_ID"/>
          </w:rPr>
          <w:rPr>
            <w:color w:val="0000EE"/>
            <w:u w:val="single"/>
          </w:rPr>
          <w:t>8:58</w:t>
        </w:r>
      </w:hyperlink>
      <w:r>
        <w:rPr>
          <w:lang w:val="id_ID" w:bidi="id_ID"/>
        </w:rPr>
        <w:t xml:space="preserve">; </w:t>
      </w:r>
      <w:hyperlink r:id="rId61">
        <w:r>
          <w:rPr>
            <w:lang w:val="id_ID" w:bidi="id_ID"/>
          </w:rPr>
          <w:rPr>
            <w:color w:val="0000EE"/>
            <w:u w:val="single"/>
          </w:rPr>
          <w:t>18:4–5</w:t>
        </w:r>
      </w:hyperlink>
      <w:r>
        <w:rPr>
          <w:lang w:val="id_ID" w:bidi="id_ID"/>
        </w:rPr>
        <w:t xml:space="preserve">; </w:t>
      </w:r>
      <w:hyperlink r:id="rId62">
        <w:r>
          <w:rPr>
            <w:lang w:val="id_ID" w:bidi="id_ID"/>
          </w:rPr>
          <w:rPr>
            <w:color w:val="0000EE"/>
            <w:u w:val="single"/>
          </w:rPr>
          <w:t>Kel. 3:13–14</w:t>
        </w:r>
      </w:hyperlink>
      <w:r>
        <w:rPr>
          <w:lang w:val="id_ID" w:bidi="id_ID"/>
        </w:rPr>
        <w:t>).</w:t>
      </w:r>
    </w:p>
    <w:p>
      <w:pPr/>
      <w:r>
        <w:rPr>
          <w:lang w:val="id_ID" w:bidi="id_ID"/>
        </w:rPr>
      </w:r>
      <w:r>
        <w:rPr>
          <w:lang w:val="id_ID" w:bidi="id_ID"/>
        </w:rPr>
        <w:t>Roh Kudus. Injil Yohanes menekankan karya Roh Kudus sebagai fitur utama pengalaman manusiawi Yesus (</w:t>
      </w:r>
      <w:hyperlink r:id="rId63">
        <w:r>
          <w:rPr>
            <w:lang w:val="id_ID" w:bidi="id_ID"/>
          </w:rPr>
          <w:rPr>
            <w:color w:val="0000EE"/>
            <w:u w:val="single"/>
          </w:rPr>
          <w:t>Pasal 4</w:t>
        </w:r>
      </w:hyperlink>
      <w:r>
        <w:rPr>
          <w:lang w:val="id_ID" w:bidi="id_ID"/>
        </w:rPr>
        <w:t xml:space="preserve">, </w:t>
      </w:r>
      <w:hyperlink r:id="rId64">
        <w:r>
          <w:rPr>
            <w:lang w:val="id_ID" w:bidi="id_ID"/>
          </w:rPr>
          <w:rPr>
            <w:color w:val="0000EE"/>
            <w:u w:val="single"/>
          </w:rPr>
          <w:t>7</w:t>
        </w:r>
      </w:hyperlink>
      <w:r>
        <w:rPr>
          <w:lang w:val="id_ID" w:bidi="id_ID"/>
        </w:rPr>
        <w:t xml:space="preserve">) dan hidup kita (pasal </w:t>
      </w:r>
      <w:hyperlink r:id="rId65">
        <w:r>
          <w:rPr>
            <w:lang w:val="id_ID" w:bidi="id_ID"/>
          </w:rPr>
          <w:rPr>
            <w:color w:val="0000EE"/>
            <w:u w:val="single"/>
          </w:rPr>
          <w:t>3</w:t>
        </w:r>
      </w:hyperlink>
      <w:r>
        <w:rPr>
          <w:lang w:val="id_ID" w:bidi="id_ID"/>
        </w:rPr>
        <w:t xml:space="preserve">, </w:t>
      </w:r>
      <w:hyperlink r:id="rId66">
        <w:r>
          <w:rPr>
            <w:lang w:val="id_ID" w:bidi="id_ID"/>
          </w:rPr>
          <w:rPr>
            <w:color w:val="0000EE"/>
            <w:u w:val="single"/>
          </w:rPr>
          <w:t>14</w:t>
        </w:r>
      </w:hyperlink>
      <w:r>
        <w:rPr>
          <w:lang w:val="id_ID" w:bidi="id_ID"/>
        </w:rPr>
        <w:t xml:space="preserve">, dan </w:t>
      </w:r>
      <w:hyperlink r:id="rId67">
        <w:r>
          <w:rPr>
            <w:lang w:val="id_ID" w:bidi="id_ID"/>
          </w:rPr>
          <w:rPr>
            <w:color w:val="0000EE"/>
            <w:u w:val="single"/>
          </w:rPr>
          <w:t>16</w:t>
        </w:r>
      </w:hyperlink>
      <w:r>
        <w:rPr>
          <w:lang w:val="id_ID" w:bidi="id_ID"/>
        </w:rPr>
        <w:t>). Kuasa Roh Kudus yang mengubahkan adalah ciri khas kemuridan yang sejati.</w:t>
      </w:r>
    </w:p>
    <w:p>
      <w:pPr/>
      <w:r>
        <w:rPr>
          <w:lang w:val="id_ID" w:bidi="id_ID"/>
        </w:rPr>
      </w:r>
      <w:r>
        <w:rPr>
          <w:lang w:val="id_ID" w:bidi="id_ID"/>
        </w:rPr>
        <w:t>Misi Gereja. Allah mengutus Yesus ke dalam dunia (</w:t>
      </w:r>
      <w:hyperlink r:id="rId68">
        <w:r>
          <w:rPr>
            <w:lang w:val="id_ID" w:bidi="id_ID"/>
          </w:rPr>
          <w:rPr>
            <w:color w:val="0000EE"/>
            <w:u w:val="single"/>
          </w:rPr>
          <w:t>8:18</w:t>
        </w:r>
      </w:hyperlink>
      <w:r>
        <w:rPr>
          <w:lang w:val="id_ID" w:bidi="id_ID"/>
        </w:rPr>
        <w:t>) untuk memberitakan kemuliaan-Nya dan mempersaksikan Kabar Baik tentang penebusan. Setelah naik ke surga, sang Anak Allah melanjutkan misi-Nya melalui Roh Kudus (</w:t>
      </w:r>
      <w:hyperlink r:id="rId69">
        <w:r>
          <w:rPr>
            <w:lang w:val="id_ID" w:bidi="id_ID"/>
          </w:rPr>
          <w:rPr>
            <w:color w:val="0000EE"/>
            <w:u w:val="single"/>
          </w:rPr>
          <w:t>16:5–11</w:t>
        </w:r>
      </w:hyperlink>
      <w:r>
        <w:rPr>
          <w:lang w:val="id_ID" w:bidi="id_ID"/>
        </w:rPr>
        <w:t>), yang pada gilirannya akan memenuhi gereja dan memberi kuasa kepada orang-orang percaya untuk menggenapi misi Yesus di dalam dunia (</w:t>
      </w:r>
      <w:hyperlink r:id="rId70">
        <w:r>
          <w:rPr>
            <w:lang w:val="id_ID" w:bidi="id_ID"/>
          </w:rPr>
          <w:rPr>
            <w:color w:val="0000EE"/>
            <w:u w:val="single"/>
          </w:rPr>
          <w:t>20:20–23</w:t>
        </w:r>
      </w:hyperlink>
      <w:r>
        <w:rPr>
          <w:lang w:val="id_ID" w:bidi="id_ID"/>
        </w:rPr>
        <w:t xml:space="preserve">; </w:t>
      </w:r>
      <w:hyperlink r:id="rId71">
        <w:r>
          <w:rPr>
            <w:lang w:val="id_ID" w:bidi="id_ID"/>
          </w:rPr>
          <w:rPr>
            <w:color w:val="0000EE"/>
            <w:u w:val="single"/>
          </w:rPr>
          <w:t>Mat. 28:18–20</w:t>
        </w:r>
      </w:hyperlink>
      <w:r>
        <w:rPr>
          <w:lang w:val="id_ID" w:bidi="id_ID"/>
        </w:rPr>
        <w:t xml:space="preserve">; </w:t>
      </w:r>
      <w:hyperlink r:id="rId72">
        <w:r>
          <w:rPr>
            <w:lang w:val="id_ID" w:bidi="id_ID"/>
          </w:rPr>
          <w:rPr>
            <w:color w:val="0000EE"/>
            <w:u w:val="single"/>
          </w:rPr>
          <w:t>Kis. 1:7–8</w:t>
        </w:r>
      </w:hyperlink>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hyperlink r:id="rId73">
        <w:r>
          <w:rPr>
            <w:lang w:val="id_ID" w:bidi="id_ID"/>
          </w:rPr>
          <w:rPr>
            <w:color w:val="0000EE"/>
            <w:u w:val="single"/>
          </w:rPr>
          <w:t>14:15–26</w:t>
        </w:r>
      </w:hyperlink>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