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hyperlink r:id="rId13">
        <w:r>
          <w:rPr>
            <w:lang w:val="zh_TW" w:bidi="zh_TW"/>
          </w:rPr>
          <w:rPr>
            <w:color w:val="0000EE"/>
            <w:u w:val="single"/>
          </w:rPr>
          <w:t>徒2:11</w:t>
        </w:r>
      </w:hyperlink>
      <w:r>
        <w:rPr>
          <w:lang w:val="zh_TW" w:bidi="zh_TW"/>
        </w:rPr>
        <w:t>）。那時，這群人中可能有一些人將基督教信仰帶回克里特。但這封寫給提多的信表明，那裡的教會是最近因保羅的宣教而建立的（見</w:t>
      </w:r>
      <w:hyperlink r:id="rId14">
        <w:r>
          <w:rPr>
            <w:lang w:val="zh_TW" w:bidi="zh_TW"/>
          </w:rPr>
          <w:rPr>
            <w:color w:val="0000EE"/>
            <w:u w:val="single"/>
          </w:rPr>
          <w:t>多1:5</w:t>
        </w:r>
      </w:hyperlink>
      <w:r>
        <w:rPr>
          <w:lang w:val="zh_TW" w:bidi="zh_TW"/>
        </w:rPr>
        <w:t>）。新約其它地方中唯一一次提到克里特，是保羅被當作囚徒轉移到羅馬的時候（</w:t>
      </w:r>
      <w:hyperlink r:id="rId15">
        <w:r>
          <w:rPr>
            <w:lang w:val="zh_TW" w:bidi="zh_TW"/>
          </w:rPr>
          <w:rPr>
            <w:color w:val="0000EE"/>
            <w:u w:val="single"/>
          </w:rPr>
          <w:t>徒27:7–21</w:t>
        </w:r>
      </w:hyperlink>
      <w:r>
        <w:rPr>
          <w:lang w:val="zh_TW" w:bidi="zh_TW"/>
        </w:rPr>
        <w:t>）。這個時候，保羅沒有在克里特進行積極事工的機會。最有可能的是，保羅在克里特的事工開始於</w:t>
      </w:r>
      <w:hyperlink r:id="rId16">
        <w:r>
          <w:rPr>
            <w:lang w:val="zh_TW" w:bidi="zh_TW"/>
          </w:rPr>
          <w:rPr>
            <w:color w:val="0000EE"/>
            <w:u w:val="single"/>
          </w:rPr>
          <w:t>徒28:1–31</w:t>
        </w:r>
      </w:hyperlink>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hyperlink r:id="rId17">
        <w:r>
          <w:rPr>
            <w:lang w:val="zh_TW" w:bidi="zh_TW"/>
          </w:rPr>
          <w:rPr>
            <w:color w:val="0000EE"/>
            <w:u w:val="single"/>
          </w:rPr>
          <w:t>徒14:23</w:t>
        </w:r>
      </w:hyperlink>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hyperlink r:id="rId18">
        <w:r>
          <w:rPr>
            <w:lang w:val="zh_TW" w:bidi="zh_TW"/>
          </w:rPr>
          <w:rPr>
            <w:color w:val="0000EE"/>
            <w:u w:val="single"/>
          </w:rPr>
          <w:t>多3:12</w:t>
        </w:r>
      </w:hyperlink>
      <w:r>
        <w:rPr>
          <w:lang w:val="zh_TW" w:bidi="zh_TW"/>
        </w:rPr>
        <w:t>）。保羅計劃在尼哥坡里過冬，這表明他計劃在春天時從那裡向西航行（見</w:t>
      </w:r>
      <w:hyperlink r:id="rId19">
        <w:r>
          <w:rPr>
            <w:lang w:val="zh_TW" w:bidi="zh_TW"/>
          </w:rPr>
          <w:rPr>
            <w:color w:val="0000EE"/>
            <w:u w:val="single"/>
          </w:rPr>
          <w:t>提後4:21</w:t>
        </w:r>
      </w:hyperlink>
      <w:r>
        <w:rPr>
          <w:lang w:val="zh_TW" w:bidi="zh_TW"/>
        </w:rPr>
        <w:t>）。保羅可能是要前往意大利，甚至可能是西班牙（見</w:t>
      </w:r>
      <w:hyperlink r:id="rId20">
        <w:r>
          <w:rPr>
            <w:lang w:val="zh_TW" w:bidi="zh_TW"/>
          </w:rPr>
          <w:rPr>
            <w:color w:val="0000EE"/>
            <w:u w:val="single"/>
          </w:rPr>
          <w:t>羅15:24</w:t>
        </w:r>
      </w:hyperlink>
      <w:r>
        <w:rPr>
          <w:lang w:val="zh_TW" w:bidi="zh_TW"/>
        </w:rPr>
        <w:t>、</w:t>
      </w:r>
      <w:hyperlink r:id="rId21">
        <w:r>
          <w:rPr>
            <w:lang w:val="zh_TW" w:bidi="zh_TW"/>
          </w:rPr>
          <w:rPr>
            <w:color w:val="0000EE"/>
            <w:u w:val="single"/>
          </w:rPr>
          <w:t>28</w:t>
        </w:r>
      </w:hyperlink>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hyperlink r:id="rId22">
        <w:r>
          <w:rPr>
            <w:lang w:val="zh_TW" w:bidi="zh_TW"/>
          </w:rPr>
          <w:rPr>
            <w:color w:val="0000EE"/>
            <w:u w:val="single"/>
          </w:rPr>
          <w:t>1:5–3:11</w:t>
        </w:r>
      </w:hyperlink>
      <w:r>
        <w:rPr>
          <w:lang w:val="zh_TW" w:bidi="zh_TW"/>
        </w:rPr>
        <w:t>）都是按照命令、命令的理由和指示這樣的模式撰寫而成。保羅始終如一地重複這一模式，無論是針對長老的任命（</w:t>
      </w:r>
      <w:hyperlink r:id="rId23">
        <w:r>
          <w:rPr>
            <w:lang w:val="zh_TW" w:bidi="zh_TW"/>
          </w:rPr>
          <w:rPr>
            <w:color w:val="0000EE"/>
            <w:u w:val="single"/>
          </w:rPr>
          <w:t>1:5–16</w:t>
        </w:r>
      </w:hyperlink>
      <w:r>
        <w:rPr>
          <w:lang w:val="zh_TW" w:bidi="zh_TW"/>
        </w:rPr>
        <w:t>）、信仰家庭成員之間的正確行為（</w:t>
      </w:r>
      <w:hyperlink r:id="rId24">
        <w:r>
          <w:rPr>
            <w:lang w:val="zh_TW" w:bidi="zh_TW"/>
          </w:rPr>
          <w:rPr>
            <w:color w:val="0000EE"/>
            <w:u w:val="single"/>
          </w:rPr>
          <w:t>2:1–15</w:t>
        </w:r>
      </w:hyperlink>
      <w:r>
        <w:rPr>
          <w:lang w:val="zh_TW" w:bidi="zh_TW"/>
        </w:rPr>
        <w:t>），還是社會中的正確行為（</w:t>
      </w:r>
      <w:hyperlink r:id="rId25">
        <w:r>
          <w:rPr>
            <w:lang w:val="zh_TW" w:bidi="zh_TW"/>
          </w:rPr>
          <w:rPr>
            <w:color w:val="0000EE"/>
            <w:u w:val="single"/>
          </w:rPr>
          <w:t>3:1–11</w:t>
        </w:r>
      </w:hyperlink>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hyperlink r:id="rId26">
        <w:r>
          <w:rPr>
            <w:lang w:val="zh_TW" w:bidi="zh_TW"/>
          </w:rPr>
          <w:rPr>
            <w:color w:val="0000EE"/>
            <w:u w:val="single"/>
          </w:rPr>
          <w:t>使徒行傳二十一章</w:t>
        </w:r>
      </w:hyperlink>
      <w:r>
        <w:rPr>
          <w:lang w:val="zh_TW" w:bidi="zh_TW"/>
        </w:rPr>
        <w:t>的被捕之前寫了這兩封書信和提摩太後書。但更有可能的日期是</w:t>
      </w:r>
      <w:hyperlink r:id="rId16">
        <w:r>
          <w:rPr>
            <w:lang w:val="zh_TW" w:bidi="zh_TW"/>
          </w:rPr>
          <w:rPr>
            <w:color w:val="0000EE"/>
            <w:u w:val="single"/>
          </w:rPr>
          <w:t>使徒行傳二十八章</w:t>
        </w:r>
      </w:hyperlink>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hyperlink r:id="rId27">
        <w:r>
          <w:rPr>
            <w:lang w:val="zh_TW" w:bidi="zh_TW"/>
          </w:rPr>
          <w:rPr>
            <w:color w:val="0000EE"/>
            <w:u w:val="single"/>
          </w:rPr>
          <w:t>2:13</w:t>
        </w:r>
      </w:hyperlink>
      <w:r>
        <w:rPr>
          <w:lang w:val="zh_TW" w:bidi="zh_TW"/>
        </w:rPr>
        <w:t>），恩慈地降卑為人，祂提供的救恩是出於純粹的憐憫（</w:t>
      </w:r>
      <w:hyperlink r:id="rId28">
        <w:r>
          <w:rPr>
            <w:lang w:val="zh_TW" w:bidi="zh_TW"/>
          </w:rPr>
          <w:rPr>
            <w:color w:val="0000EE"/>
            <w:u w:val="single"/>
          </w:rPr>
          <w:t>3:5</w:t>
        </w:r>
      </w:hyperlink>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hyperlink r:id="rId29">
        <w:r>
          <w:rPr>
            <w:lang w:val="zh_TW" w:bidi="zh_TW"/>
          </w:rPr>
          <w:rPr>
            <w:color w:val="0000EE"/>
            <w:u w:val="single"/>
          </w:rPr>
          <w:t>多1:10–16</w:t>
        </w:r>
      </w:hyperlink>
      <w:r>
        <w:rPr>
          <w:lang w:val="zh_TW" w:bidi="zh_TW"/>
        </w:rPr>
        <w:t>），表明這兩個地方所面對的假教導非常相似（見</w:t>
      </w:r>
      <w:hyperlink r:id="rId30">
        <w:r>
          <w:rPr>
            <w:lang w:val="zh_TW" w:bidi="zh_TW"/>
          </w:rPr>
          <w:rPr>
            <w:color w:val="0000EE"/>
            <w:u w:val="single"/>
          </w:rPr>
          <w:t>提前1:4–7</w:t>
        </w:r>
      </w:hyperlink>
      <w:r>
        <w:rPr>
          <w:lang w:val="zh_TW" w:bidi="zh_TW"/>
        </w:rPr>
        <w:t>，</w:t>
      </w:r>
      <w:hyperlink r:id="rId31">
        <w:r>
          <w:rPr>
            <w:lang w:val="zh_TW" w:bidi="zh_TW"/>
          </w:rPr>
          <w:rPr>
            <w:color w:val="0000EE"/>
            <w:u w:val="single"/>
          </w:rPr>
          <w:t>4:1–4</w:t>
        </w:r>
      </w:hyperlink>
      <w:r>
        <w:rPr>
          <w:lang w:val="zh_TW" w:bidi="zh_TW"/>
        </w:rPr>
        <w:t>；</w:t>
      </w:r>
      <w:hyperlink r:id="rId32">
        <w:r>
          <w:rPr>
            <w:lang w:val="zh_TW" w:bidi="zh_TW"/>
          </w:rPr>
          <w:rPr>
            <w:color w:val="0000EE"/>
            <w:u w:val="single"/>
          </w:rPr>
          <w:t>提後3:1–7</w:t>
        </w:r>
      </w:hyperlink>
      <w:r>
        <w:rPr>
          <w:lang w:val="zh_TW" w:bidi="zh_TW"/>
        </w:rPr>
        <w:t>，</w:t>
      </w:r>
      <w:hyperlink r:id="rId33">
        <w:r>
          <w:rPr>
            <w:lang w:val="zh_TW" w:bidi="zh_TW"/>
          </w:rPr>
          <w:rPr>
            <w:color w:val="0000EE"/>
            <w:u w:val="single"/>
          </w:rPr>
          <w:t>4:3–4</w:t>
        </w:r>
      </w:hyperlink>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4">
        <w:r>
          <w:rPr>
            <w:lang w:val="zh_TW" w:bidi="zh_TW"/>
          </w:rPr>
          <w:rPr>
            <w:color w:val="0000EE"/>
            <w:u w:val="single"/>
          </w:rPr>
          <w:t>提前5:3–16</w:t>
        </w:r>
      </w:hyperlink>
      <w:r>
        <w:rPr>
          <w:lang w:val="zh_TW" w:bidi="zh_TW"/>
        </w:rPr>
        <w:t>），也沒有執事（</w:t>
      </w:r>
      <w:hyperlink r:id="rId35">
        <w:r>
          <w:rPr>
            <w:lang w:val="zh_TW" w:bidi="zh_TW"/>
          </w:rPr>
          <w:rPr>
            <w:color w:val="0000EE"/>
            <w:u w:val="single"/>
          </w:rPr>
          <w:t>提前3:8–13</w:t>
        </w:r>
      </w:hyperlink>
      <w:r>
        <w:rPr>
          <w:lang w:val="zh_TW" w:bidi="zh_TW"/>
        </w:rPr>
        <w:t>）。在引起麻煩者的差異或許是對女教師這個議題保持沉默的原因（見</w:t>
      </w:r>
      <w:hyperlink r:id="rId36">
        <w:r>
          <w:rPr>
            <w:lang w:val="zh_TW" w:bidi="zh_TW"/>
          </w:rPr>
          <w:rPr>
            <w:color w:val="0000EE"/>
            <w:u w:val="single"/>
          </w:rPr>
          <w:t>提前2:11–15</w:t>
        </w:r>
      </w:hyperlink>
      <w:r>
        <w:rPr>
          <w:lang w:val="zh_TW" w:bidi="zh_TW"/>
        </w:rPr>
        <w:t>）。領袖的標準（</w:t>
      </w:r>
      <w:hyperlink r:id="rId37">
        <w:r>
          <w:rPr>
            <w:lang w:val="zh_TW" w:bidi="zh_TW"/>
          </w:rPr>
          <w:rPr>
            <w:color w:val="0000EE"/>
            <w:u w:val="single"/>
          </w:rPr>
          <w:t>多1:6–9</w:t>
        </w:r>
      </w:hyperlink>
      <w:r>
        <w:rPr>
          <w:lang w:val="zh_TW" w:bidi="zh_TW"/>
        </w:rPr>
        <w:t>），以及群體成員的行為標準（見</w:t>
      </w:r>
      <w:hyperlink r:id="rId38">
        <w:r>
          <w:rPr>
            <w:lang w:val="zh_TW" w:bidi="zh_TW"/>
          </w:rPr>
          <w:rPr>
            <w:color w:val="0000EE"/>
            <w:u w:val="single"/>
          </w:rPr>
          <w:t>2:1–10</w:t>
        </w:r>
      </w:hyperlink>
      <w:r>
        <w:rPr>
          <w:lang w:val="zh_TW" w:bidi="zh_TW"/>
        </w:rPr>
        <w:t>），可能代表了對來自艱難背景新信徒的較低標準，這樣可以避免過於嚴格。最後，在提多書中沒有強調要保護真道，而這在提摩太前書和提摩太後書中是十分重要的信息（</w:t>
      </w:r>
      <w:hyperlink r:id="rId39">
        <w:r>
          <w:rPr>
            <w:lang w:val="zh_TW" w:bidi="zh_TW"/>
          </w:rPr>
          <w:rPr>
            <w:color w:val="0000EE"/>
            <w:u w:val="single"/>
          </w:rPr>
          <w:t>提前1:18</w:t>
        </w:r>
      </w:hyperlink>
      <w:r>
        <w:rPr>
          <w:lang w:val="zh_TW" w:bidi="zh_TW"/>
        </w:rPr>
        <w:t>，</w:t>
      </w:r>
      <w:hyperlink r:id="rId40">
        <w:r>
          <w:rPr>
            <w:lang w:val="zh_TW" w:bidi="zh_TW"/>
          </w:rPr>
          <w:rPr>
            <w:color w:val="0000EE"/>
            <w:u w:val="single"/>
          </w:rPr>
          <w:t>6:20</w:t>
        </w:r>
      </w:hyperlink>
      <w:r>
        <w:rPr>
          <w:lang w:val="zh_TW" w:bidi="zh_TW"/>
        </w:rPr>
        <w:t>；</w:t>
      </w:r>
      <w:hyperlink r:id="rId41">
        <w:r>
          <w:rPr>
            <w:lang w:val="zh_TW" w:bidi="zh_TW"/>
          </w:rPr>
          <w:rPr>
            <w:color w:val="0000EE"/>
            <w:u w:val="single"/>
          </w:rPr>
          <w:t>提後1:12–14</w:t>
        </w:r>
      </w:hyperlink>
      <w:r>
        <w:rPr>
          <w:lang w:val="zh_TW" w:bidi="zh_TW"/>
        </w:rPr>
        <w:t>，</w:t>
      </w:r>
      <w:hyperlink r:id="rId42">
        <w:r>
          <w:rPr>
            <w:lang w:val="zh_TW" w:bidi="zh_TW"/>
          </w:rPr>
          <w:rPr>
            <w:color w:val="0000EE"/>
            <w:u w:val="single"/>
          </w:rPr>
          <w:t>2:2</w:t>
        </w:r>
      </w:hyperlink>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3">
        <w:r>
          <w:rPr>
            <w:lang w:val="zh_TW" w:bidi="zh_TW"/>
          </w:rPr>
          <w:rPr>
            <w:color w:val="0000EE"/>
            <w:u w:val="single"/>
          </w:rPr>
          <w:t>2:10–11</w:t>
        </w:r>
      </w:hyperlink>
      <w:r>
        <w:rPr>
          <w:lang w:val="zh_TW" w:bidi="zh_TW"/>
        </w:rPr>
        <w:t>，</w:t>
      </w:r>
      <w:hyperlink r:id="rId44">
        <w:r>
          <w:rPr>
            <w:lang w:val="zh_TW" w:bidi="zh_TW"/>
          </w:rPr>
          <w:rPr>
            <w:color w:val="0000EE"/>
            <w:u w:val="single"/>
          </w:rPr>
          <w:t>3:2–3</w:t>
        </w:r>
      </w:hyperlink>
      <w:r>
        <w:rPr>
          <w:lang w:val="zh_TW" w:bidi="zh_TW"/>
        </w:rPr>
        <w:t>、</w:t>
      </w:r>
      <w:hyperlink r:id="rId45">
        <w:r>
          <w:rPr>
            <w:lang w:val="zh_TW" w:bidi="zh_TW"/>
          </w:rPr>
          <w:rPr>
            <w:color w:val="0000EE"/>
            <w:u w:val="single"/>
          </w:rPr>
          <w:t>8</w:t>
        </w:r>
      </w:hyperlink>
      <w:r>
        <w:rPr>
          <w:lang w:val="zh_TW" w:bidi="zh_TW"/>
        </w:rPr>
        <w:t>；見</w:t>
      </w:r>
      <w:hyperlink r:id="rId46">
        <w:r>
          <w:rPr>
            <w:lang w:val="zh_TW" w:bidi="zh_TW"/>
          </w:rPr>
          <w:rPr>
            <w:color w:val="0000EE"/>
            <w:u w:val="single"/>
          </w:rPr>
          <w:t>太5:14–16</w:t>
        </w:r>
      </w:hyperlink>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4">
        <w:r>
          <w:rPr>
            <w:lang w:val="zh_TW" w:bidi="zh_TW"/>
          </w:rPr>
          <w:rPr>
            <w:color w:val="0000EE"/>
            <w:u w:val="single"/>
          </w:rPr>
          <w:t>多2:1–15</w:t>
        </w:r>
      </w:hyperlink>
      <w:r>
        <w:rPr>
          <w:lang w:val="zh_TW" w:bidi="zh_TW"/>
        </w:rPr>
        <w:t>）。作為個別的信徒，我們也必須在這被罪影響的世界中行為端正，專注於他人的救恩。我們必須想起我們過往的生命——牢記神如何對待我們、賜給我們救恩，並叫我們成為敬虔（</w:t>
      </w:r>
      <w:hyperlink r:id="rId25">
        <w:r>
          <w:rPr>
            <w:lang w:val="zh_TW" w:bidi="zh_TW"/>
          </w:rPr>
          <w:rPr>
            <w:color w:val="0000EE"/>
            <w:u w:val="single"/>
          </w:rPr>
          <w:t>3:1–11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