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أخبار الأيام</w:t>
      </w:r>
      <w:r>
        <w:rPr>
          <w:lang w:val="ar_AE" w:bidi="ar_AE"/>
        </w:rPr>
      </w:r>
    </w:p>
    <w:p>
      <w:pPr>
        <w:bidi/>
      </w:pPr>
      <w:r>
        <w:rPr>
          <w:lang w:val="ar_AE" w:bidi="ar_AE"/>
        </w:rPr>
      </w:r>
      <w:r>
        <w:rPr>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lang w:val="ar_AE" w:bidi="ar_AE"/>
        </w:rPr>
        <w:t>أحداث وخلفيات السِفر</w:t>
      </w:r>
    </w:p>
    <w:p>
      <w:pPr>
        <w:bidi/>
      </w:pPr>
      <w:r>
        <w:rPr>
          <w:lang w:val="ar_AE" w:bidi="ar_AE"/>
        </w:rPr>
      </w:r>
      <w:r>
        <w:rPr>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3">
        <w:r>
          <w:rPr>
            <w:lang w:val="ar_AE" w:bidi="ar_AE"/>
          </w:rPr>
          <w:rPr>
            <w:color w:val="0000EE"/>
            <w:u w:val="single"/>
          </w:rPr>
          <w:t>دانيال 5</w:t>
        </w:r>
      </w:hyperlink>
      <w:r>
        <w:rPr>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4">
        <w:r>
          <w:rPr>
            <w:lang w:val="ar_AE" w:bidi="ar_AE"/>
          </w:rPr>
          <w:rPr>
            <w:color w:val="0000EE"/>
            <w:u w:val="single"/>
          </w:rPr>
          <w:t>دانيال 5:30–31</w:t>
        </w:r>
      </w:hyperlink>
      <w:r>
        <w:rPr>
          <w:lang w:val="ar_AE" w:bidi="ar_AE"/>
        </w:rPr>
        <w:t>).</w:t>
      </w:r>
    </w:p>
    <w:p>
      <w:pPr>
        <w:bidi/>
      </w:pPr>
      <w:r>
        <w:rPr>
          <w:lang w:val="ar_AE" w:bidi="ar_AE"/>
        </w:rPr>
      </w:r>
      <w:r>
        <w:rPr>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lang w:val="ar_AE" w:bidi="ar_AE"/>
        </w:rPr>
      </w:r>
      <w:r>
        <w:rPr>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lang w:val="ar_AE" w:bidi="ar_AE"/>
        </w:rPr>
        <w:t>الخُلاصة</w:t>
      </w:r>
    </w:p>
    <w:p>
      <w:pPr>
        <w:bidi/>
      </w:pPr>
      <w:r>
        <w:rPr>
          <w:lang w:val="ar_AE" w:bidi="ar_AE"/>
        </w:rPr>
      </w:r>
      <w:r>
        <w:rPr>
          <w:lang w:val="ar_AE" w:bidi="ar_AE"/>
        </w:rPr>
        <w:t>ينقسم نص أخبار الأيام الأول إلى قسمَين متميزَين: تصوير هُوِيَّة إسرائيل مِن خلال الأنساب (</w:t>
      </w:r>
      <w:hyperlink r:id="rId15">
        <w:r>
          <w:rPr>
            <w:lang w:val="ar_AE" w:bidi="ar_AE"/>
          </w:rPr>
          <w:rPr>
            <w:color w:val="0000EE"/>
            <w:u w:val="single"/>
          </w:rPr>
          <w:t>1 أخ 1:1–9:44</w:t>
        </w:r>
      </w:hyperlink>
      <w:r>
        <w:rPr>
          <w:lang w:val="ar_AE" w:bidi="ar_AE"/>
        </w:rPr>
        <w:t>)، وإعداد داود لأورشليم من أجل بناء الهيكل وحُكم سليمان (</w:t>
      </w:r>
      <w:hyperlink r:id="rId16">
        <w:r>
          <w:rPr>
            <w:lang w:val="ar_AE" w:bidi="ar_AE"/>
          </w:rPr>
          <w:rPr>
            <w:color w:val="0000EE"/>
            <w:u w:val="single"/>
          </w:rPr>
          <w:t>10:1–29:30</w:t>
        </w:r>
      </w:hyperlink>
      <w:r>
        <w:rPr>
          <w:lang w:val="ar_AE" w:bidi="ar_AE"/>
        </w:rPr>
        <w:t>).</w:t>
      </w:r>
    </w:p>
    <w:p>
      <w:pPr>
        <w:bidi/>
      </w:pPr>
      <w:r>
        <w:rPr>
          <w:lang w:val="ar_AE" w:bidi="ar_AE"/>
        </w:rPr>
      </w:r>
      <w:r>
        <w:rPr>
          <w:lang w:val="ar_AE" w:bidi="ar_AE"/>
        </w:rPr>
        <w:t>توضح سلاسل النسب في الإصحاح الأول (</w:t>
      </w:r>
      <w:hyperlink r:id="rId17">
        <w:r>
          <w:rPr>
            <w:lang w:val="ar_AE" w:bidi="ar_AE"/>
          </w:rPr>
          <w:rPr>
            <w:color w:val="0000EE"/>
            <w:u w:val="single"/>
          </w:rPr>
          <w:t>الإصحاح 1</w:t>
        </w:r>
      </w:hyperlink>
      <w:r>
        <w:rPr>
          <w:lang w:val="ar_AE" w:bidi="ar_AE"/>
        </w:rPr>
        <w:t xml:space="preserve">) اختيار الله لأشخاص محددين من آدم إلى يعقوب (= إسرائيل). تتناول </w:t>
      </w:r>
      <w:hyperlink r:id="rId18">
        <w:r>
          <w:rPr>
            <w:lang w:val="ar_AE" w:bidi="ar_AE"/>
          </w:rPr>
          <w:rPr>
            <w:color w:val="0000EE"/>
            <w:u w:val="single"/>
          </w:rPr>
          <w:t>الإصحاحات 2–8</w:t>
        </w:r>
      </w:hyperlink>
      <w:r>
        <w:rPr>
          <w:lang w:val="ar_AE" w:bidi="ar_AE"/>
        </w:rPr>
        <w:t xml:space="preserve"> تاريخ شعب إسرائيل من يعقوب حتى السبي البابلي. يسرد هذا القسم أولًا سبط يهوذا بالتفصيل (</w:t>
      </w:r>
      <w:hyperlink r:id="rId19">
        <w:r>
          <w:rPr>
            <w:lang w:val="ar_AE" w:bidi="ar_AE"/>
          </w:rPr>
          <w:rPr>
            <w:color w:val="0000EE"/>
            <w:u w:val="single"/>
          </w:rPr>
          <w:t>الإصحاحات 2–4</w:t>
        </w:r>
      </w:hyperlink>
      <w:r>
        <w:rPr>
          <w:lang w:val="ar_AE" w:bidi="ar_AE"/>
        </w:rPr>
        <w:t>)، متحدثًا عن بيت داود في القسم المركزي (</w:t>
      </w:r>
      <w:hyperlink r:id="rId20">
        <w:r>
          <w:rPr>
            <w:lang w:val="ar_AE" w:bidi="ar_AE"/>
          </w:rPr>
          <w:rPr>
            <w:color w:val="0000EE"/>
            <w:u w:val="single"/>
          </w:rPr>
          <w:t>الإصحاح 3</w:t>
        </w:r>
      </w:hyperlink>
      <w:r>
        <w:rPr>
          <w:lang w:val="ar_AE" w:bidi="ar_AE"/>
        </w:rPr>
        <w:t>)، ثم يصف الأسباط الأخرى لإسرائيل (</w:t>
      </w:r>
      <w:hyperlink r:id="rId21">
        <w:r>
          <w:rPr>
            <w:lang w:val="ar_AE" w:bidi="ar_AE"/>
          </w:rPr>
          <w:rPr>
            <w:color w:val="0000EE"/>
            <w:u w:val="single"/>
          </w:rPr>
          <w:t>الإصحاحات 5–7</w:t>
        </w:r>
      </w:hyperlink>
      <w:r>
        <w:rPr>
          <w:lang w:val="ar_AE" w:bidi="ar_AE"/>
        </w:rPr>
        <w:t>)، بما في ذلك الأسباط التي في شرق الأرْدُنّ (في عبر الأرْدُنّ). في منتصف قوائم الأنساب الإضافية هذه يأتي سبط لاوي (</w:t>
      </w:r>
      <w:hyperlink r:id="rId22">
        <w:r>
          <w:rPr>
            <w:lang w:val="ar_AE" w:bidi="ar_AE"/>
          </w:rPr>
          <w:rPr>
            <w:color w:val="0000EE"/>
            <w:u w:val="single"/>
          </w:rPr>
          <w:t>الإصحاح 6</w:t>
        </w:r>
      </w:hyperlink>
      <w:r>
        <w:rPr>
          <w:lang w:val="ar_AE" w:bidi="ar_AE"/>
        </w:rPr>
        <w:t>) وهو سبط ذو أهمية مركزية. ثم يستمر السِجل مع سبط بنيامين (</w:t>
      </w:r>
      <w:hyperlink r:id="rId23">
        <w:r>
          <w:rPr>
            <w:lang w:val="ar_AE" w:bidi="ar_AE"/>
          </w:rPr>
          <w:rPr>
            <w:color w:val="0000EE"/>
            <w:u w:val="single"/>
          </w:rPr>
          <w:t>الإصحاح 8</w:t>
        </w:r>
      </w:hyperlink>
      <w:r>
        <w:rPr>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4">
        <w:r>
          <w:rPr>
            <w:lang w:val="ar_AE" w:bidi="ar_AE"/>
          </w:rPr>
          <w:rPr>
            <w:color w:val="0000EE"/>
            <w:u w:val="single"/>
          </w:rPr>
          <w:t>الإصحاح 9</w:t>
        </w:r>
      </w:hyperlink>
      <w:r>
        <w:rPr>
          <w:lang w:val="ar_AE" w:bidi="ar_AE"/>
        </w:rPr>
        <w:t>).</w:t>
      </w:r>
    </w:p>
    <w:p>
      <w:pPr>
        <w:bidi/>
      </w:pPr>
      <w:r>
        <w:rPr>
          <w:lang w:val="ar_AE" w:bidi="ar_AE"/>
        </w:rPr>
      </w:r>
      <w:r>
        <w:rPr>
          <w:lang w:val="ar_AE" w:bidi="ar_AE"/>
        </w:rPr>
        <w:t>تمهد سلسلة نسب شاول الملك (</w:t>
      </w:r>
      <w:hyperlink r:id="rId25">
        <w:r>
          <w:rPr>
            <w:lang w:val="ar_AE" w:bidi="ar_AE"/>
          </w:rPr>
          <w:rPr>
            <w:color w:val="0000EE"/>
            <w:u w:val="single"/>
          </w:rPr>
          <w:t>9:35–44</w:t>
        </w:r>
      </w:hyperlink>
      <w:r>
        <w:rPr>
          <w:lang w:val="ar_AE" w:bidi="ar_AE"/>
        </w:rPr>
        <w:t>) لمرحلة تأسيس الملكية. وعندما مات شاول بسبب عدم إخلاصه (</w:t>
      </w:r>
      <w:hyperlink r:id="rId26">
        <w:r>
          <w:rPr>
            <w:lang w:val="ar_AE" w:bidi="ar_AE"/>
          </w:rPr>
          <w:rPr>
            <w:color w:val="0000EE"/>
            <w:u w:val="single"/>
          </w:rPr>
          <w:t>10:1–14</w:t>
        </w:r>
      </w:hyperlink>
      <w:r>
        <w:rPr>
          <w:lang w:val="ar_AE" w:bidi="ar_AE"/>
        </w:rPr>
        <w:t>)، أصبح داود ملِكًا (</w:t>
      </w:r>
      <w:hyperlink r:id="rId27">
        <w:r>
          <w:rPr>
            <w:lang w:val="ar_AE" w:bidi="ar_AE"/>
          </w:rPr>
          <w:rPr>
            <w:color w:val="0000EE"/>
            <w:u w:val="single"/>
          </w:rPr>
          <w:t>11:1–12:40</w:t>
        </w:r>
      </w:hyperlink>
      <w:r>
        <w:rPr>
          <w:lang w:val="ar_AE" w:bidi="ar_AE"/>
        </w:rPr>
        <w:t>). تشرح الإصحاحات المتعلقة بحكم داود تنظيمه للمسؤولين وتجهيزه لبناء الهيكل (</w:t>
      </w:r>
      <w:hyperlink r:id="rId28">
        <w:r>
          <w:rPr>
            <w:lang w:val="ar_AE" w:bidi="ar_AE"/>
          </w:rPr>
          <w:rPr>
            <w:color w:val="0000EE"/>
            <w:u w:val="single"/>
          </w:rPr>
          <w:t>الإصحاحات 13–27</w:t>
        </w:r>
      </w:hyperlink>
      <w:r>
        <w:rPr>
          <w:lang w:val="ar_AE" w:bidi="ar_AE"/>
        </w:rPr>
        <w:t>). كان نقل تابوت العهد إلى أورشليم (</w:t>
      </w:r>
      <w:hyperlink r:id="rId29">
        <w:r>
          <w:rPr>
            <w:lang w:val="ar_AE" w:bidi="ar_AE"/>
          </w:rPr>
          <w:rPr>
            <w:color w:val="0000EE"/>
            <w:u w:val="single"/>
          </w:rPr>
          <w:t>الإصحاحات 13–16</w:t>
        </w:r>
      </w:hyperlink>
      <w:r>
        <w:rPr>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0">
        <w:r>
          <w:rPr>
            <w:lang w:val="ar_AE" w:bidi="ar_AE"/>
          </w:rPr>
          <w:rPr>
            <w:color w:val="0000EE"/>
            <w:u w:val="single"/>
          </w:rPr>
          <w:t>الإصحاح 17</w:t>
        </w:r>
      </w:hyperlink>
      <w:r>
        <w:rPr>
          <w:lang w:val="ar_AE" w:bidi="ar_AE"/>
        </w:rPr>
        <w:t>)، الظروف السياسية الضرورية (</w:t>
      </w:r>
      <w:hyperlink r:id="rId31">
        <w:r>
          <w:rPr>
            <w:lang w:val="ar_AE" w:bidi="ar_AE"/>
          </w:rPr>
          <w:rPr>
            <w:color w:val="0000EE"/>
            <w:u w:val="single"/>
          </w:rPr>
          <w:t>الإصحاحات 18–20</w:t>
        </w:r>
      </w:hyperlink>
      <w:r>
        <w:rPr>
          <w:lang w:val="ar_AE" w:bidi="ar_AE"/>
        </w:rPr>
        <w:t>)، الموقع (</w:t>
      </w:r>
      <w:hyperlink r:id="rId32">
        <w:r>
          <w:rPr>
            <w:lang w:val="ar_AE" w:bidi="ar_AE"/>
          </w:rPr>
          <w:rPr>
            <w:color w:val="0000EE"/>
            <w:u w:val="single"/>
          </w:rPr>
          <w:t>الإصحاح 21</w:t>
        </w:r>
      </w:hyperlink>
      <w:r>
        <w:rPr>
          <w:lang w:val="ar_AE" w:bidi="ar_AE"/>
        </w:rPr>
        <w:t>)، الأفراد (</w:t>
      </w:r>
      <w:hyperlink r:id="rId33">
        <w:r>
          <w:rPr>
            <w:lang w:val="ar_AE" w:bidi="ar_AE"/>
          </w:rPr>
          <w:rPr>
            <w:color w:val="0000EE"/>
            <w:u w:val="single"/>
          </w:rPr>
          <w:t>الإصحاحات 23–27</w:t>
        </w:r>
      </w:hyperlink>
      <w:r>
        <w:rPr>
          <w:lang w:val="ar_AE" w:bidi="ar_AE"/>
        </w:rPr>
        <w:t xml:space="preserve">)، المواد والخطط (الإصحاحات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28–29</w:t>
        </w:r>
      </w:hyperlink>
      <w:r>
        <w:rPr>
          <w:lang w:val="ar_AE" w:bidi="ar_AE"/>
        </w:rPr>
        <w:t>). يُختتم سَرْد حكم داود باجتماع عام كبير وتكليف سليمان بقيادة المملكة بصفته ملِكًا للسلام الذي سيبني الهيكل (</w:t>
      </w:r>
      <w:hyperlink r:id="rId35">
        <w:r>
          <w:rPr>
            <w:lang w:val="ar_AE" w:bidi="ar_AE"/>
          </w:rPr>
          <w:rPr>
            <w:color w:val="0000EE"/>
            <w:u w:val="single"/>
          </w:rPr>
          <w:t>الإصحاحان 28–29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lang w:val="ar_AE" w:bidi="ar_AE"/>
        </w:rPr>
      </w:r>
      <w:r>
        <w:rPr>
          <w:lang w:val="ar_AE" w:bidi="ar_AE"/>
        </w:rPr>
        <w:t>كتب الكاتب سفره في السنوات الأخيرة من الإمبراطورية الفارسية، ربما 400 قبل الميلاد تقريبًا. تشير سلسلة نسب يهوياكين (</w:t>
      </w:r>
      <w:hyperlink r:id="rId36">
        <w:r>
          <w:rPr>
            <w:lang w:val="ar_AE" w:bidi="ar_AE"/>
          </w:rPr>
          <w:rPr>
            <w:color w:val="0000EE"/>
            <w:u w:val="single"/>
          </w:rPr>
          <w:t>3:17–24</w:t>
        </w:r>
      </w:hyperlink>
      <w:r>
        <w:rPr>
          <w:lang w:val="ar_AE" w:bidi="ar_AE"/>
        </w:rPr>
        <w:t>) إلى تاريخ بعد ثمانية أجيال من زربّابل الذي خدم كحاكم سنة 520 قبل الميلاد تقريبًا، خلال عهد داريوس ملك فارس (</w:t>
      </w:r>
      <w:hyperlink r:id="rId37">
        <w:r>
          <w:rPr>
            <w:lang w:val="ar_AE" w:bidi="ar_AE"/>
          </w:rPr>
          <w:rPr>
            <w:color w:val="0000EE"/>
            <w:u w:val="single"/>
          </w:rPr>
          <w:t>زكريا 1:1؛</w:t>
        </w:r>
      </w:hyperlink>
      <w:r>
        <w:rPr>
          <w:lang w:val="ar_AE" w:bidi="ar_AE"/>
        </w:rPr>
        <w:t xml:space="preserve"> </w:t>
      </w:r>
      <w:hyperlink r:id="rId38">
        <w:r>
          <w:rPr>
            <w:lang w:val="ar_AE" w:bidi="ar_AE"/>
          </w:rPr>
          <w:rPr>
            <w:color w:val="0000EE"/>
            <w:u w:val="single"/>
          </w:rPr>
          <w:t>4:9</w:t>
        </w:r>
      </w:hyperlink>
      <w:r>
        <w:rPr>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39">
        <w:r>
          <w:rPr>
            <w:lang w:val="ar_AE" w:bidi="ar_AE"/>
          </w:rPr>
          <w:rPr>
            <w:color w:val="0000EE"/>
            <w:u w:val="single"/>
          </w:rPr>
          <w:t>نحميا 2:1</w:t>
        </w:r>
      </w:hyperlink>
      <w:r>
        <w:rPr>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lang w:val="ar_AE" w:bidi="ar_AE"/>
        </w:rPr>
        <w:t>السياق التاريخي</w:t>
      </w:r>
    </w:p>
    <w:p>
      <w:pPr>
        <w:bidi/>
      </w:pPr>
      <w:r>
        <w:rPr>
          <w:lang w:val="ar_AE" w:bidi="ar_AE"/>
        </w:rPr>
      </w:r>
      <w:r>
        <w:rPr>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0">
        <w:r>
          <w:rPr>
            <w:lang w:val="ar_AE" w:bidi="ar_AE"/>
          </w:rPr>
          <w:rPr>
            <w:color w:val="0000EE"/>
            <w:u w:val="single"/>
          </w:rPr>
          <w:t>ملا 2:14–16</w:t>
        </w:r>
      </w:hyperlink>
      <w:r>
        <w:rPr>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lang w:val="ar_AE" w:bidi="ar_AE"/>
        </w:rPr>
        <w:t>نوع الأدب والإنشاء</w:t>
      </w:r>
    </w:p>
    <w:p>
      <w:pPr>
        <w:bidi/>
      </w:pPr>
      <w:r>
        <w:rPr>
          <w:lang w:val="ar_AE" w:bidi="ar_AE"/>
        </w:rPr>
      </w:r>
      <w:r>
        <w:rPr>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lang w:val="ar_AE" w:bidi="ar_AE"/>
        </w:rPr>
      </w:r>
      <w:r>
        <w:rPr>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lang w:val="ar_AE" w:bidi="ar_AE"/>
        </w:rPr>
        <w:t>قصة مَن يجب أن تُروى؟</w:t>
      </w:r>
      <w:r>
        <w:rPr>
          <w:lang w:val="ar_AE" w:bidi="ar_AE"/>
        </w:rPr>
        <w:t xml:space="preserve"> و</w:t>
      </w:r>
      <w:r>
        <w:rPr>
          <w:i/>
          <w:lang w:val="ar_AE" w:bidi="ar_AE"/>
        </w:rPr>
        <w:t>أين عاش هؤلاء الناس؟</w:t>
      </w:r>
      <w:r>
        <w:rPr>
          <w:lang w:val="ar_AE" w:bidi="ar_AE"/>
        </w:rPr>
        <w:t xml:space="preserve"> </w:t>
      </w:r>
      <w:r>
        <w:rPr>
          <w:lang w:val="ar_AE" w:bidi="ar_AE"/>
        </w:rPr>
        <w:t>يُوضح عمل كاتب أخبار الأيام كيف أن شعبًا لا يملك نفوذًا أو شهرة، كان يرى في وجوده وأسلوب حياته أهمية عميقة للمستقبل</w:t>
      </w:r>
      <w:r>
        <w:rPr>
          <w:lang w:val="ar_AE" w:bidi="ar_AE"/>
        </w:rPr>
        <w:t>.</w:t>
      </w:r>
    </w:p>
    <w:p>
      <w:pPr>
        <w:bidi/>
      </w:pPr>
      <w:r>
        <w:rPr>
          <w:lang w:val="ar_AE" w:bidi="ar_AE"/>
        </w:rPr>
      </w:r>
      <w:r>
        <w:rPr>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المعنى والرسالة</w:t>
      </w:r>
    </w:p>
    <w:p>
      <w:pPr>
        <w:bidi/>
      </w:pPr>
      <w:r>
        <w:rPr>
          <w:lang w:val="ar_AE" w:bidi="ar_AE"/>
        </w:rPr>
      </w:r>
      <w:r>
        <w:rPr>
          <w:lang w:val="ar_AE" w:bidi="ar_AE"/>
        </w:rPr>
        <w:t>يُمثِّل وعد الله لداود (</w:t>
      </w:r>
      <w:hyperlink r:id="rId30">
        <w:r>
          <w:rPr>
            <w:lang w:val="ar_AE" w:bidi="ar_AE"/>
          </w:rPr>
          <w:rPr>
            <w:color w:val="0000EE"/>
            <w:u w:val="single"/>
          </w:rPr>
          <w:t>17:1–27</w:t>
        </w:r>
      </w:hyperlink>
      <w:r>
        <w:rPr>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1">
        <w:r>
          <w:rPr>
            <w:lang w:val="ar_AE" w:bidi="ar_AE"/>
          </w:rPr>
          <w:rPr>
            <w:color w:val="0000EE"/>
            <w:u w:val="single"/>
          </w:rPr>
          <w:t>2 صم 7:11–14</w:t>
        </w:r>
      </w:hyperlink>
      <w:r>
        <w:rPr>
          <w:i/>
          <w:lang w:val="ar_AE" w:bidi="ar_AE"/>
        </w:rPr>
        <w:t>//</w:t>
      </w:r>
      <w:hyperlink r:id="rId42">
        <w:r>
          <w:rPr>
            <w:lang w:val="ar_AE" w:bidi="ar_AE"/>
          </w:rPr>
          <w:rPr>
            <w:color w:val="0000EE"/>
            <w:u w:val="single"/>
          </w:rPr>
          <w:t>1 أخ 17:10–14</w:t>
        </w:r>
      </w:hyperlink>
      <w:r>
        <w:rPr>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lang w:val="ar_AE" w:bidi="ar_AE"/>
        </w:rPr>
      </w:r>
      <w:r>
        <w:rPr>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3">
        <w:r>
          <w:rPr>
            <w:lang w:val="ar_AE" w:bidi="ar_AE"/>
          </w:rPr>
          <w:rPr>
            <w:color w:val="0000EE"/>
            <w:u w:val="single"/>
          </w:rPr>
          <w:t>10:13</w:t>
        </w:r>
      </w:hyperlink>
      <w:r>
        <w:rPr>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4">
        <w:r>
          <w:rPr>
            <w:lang w:val="ar_AE" w:bidi="ar_AE"/>
          </w:rPr>
          <w:rPr>
            <w:color w:val="0000EE"/>
            <w:u w:val="single"/>
          </w:rPr>
          <w:t>تثنية 32:4،</w:t>
        </w:r>
      </w:hyperlink>
      <w:r>
        <w:rPr>
          <w:lang w:val="ar_AE" w:bidi="ar_AE"/>
        </w:rPr>
        <w:t xml:space="preserve"> </w:t>
      </w:r>
      <w:hyperlink r:id="rId45">
        <w:r>
          <w:rPr>
            <w:lang w:val="ar_AE" w:bidi="ar_AE"/>
          </w:rPr>
          <w:rPr>
            <w:color w:val="0000EE"/>
            <w:u w:val="single"/>
          </w:rPr>
          <w:t>15–39</w:t>
        </w:r>
      </w:hyperlink>
      <w:r>
        <w:rPr>
          <w:lang w:val="ar_AE" w:bidi="ar_AE"/>
        </w:rPr>
        <w:t xml:space="preserve">). لذلك فإن </w:t>
      </w:r>
      <w:r>
        <w:rPr>
          <w:i/>
          <w:lang w:val="ar_AE" w:bidi="ar_AE"/>
        </w:rPr>
        <w:t>الخيانة</w:t>
      </w:r>
      <w:r>
        <w:rPr>
          <w:lang w:val="ar_AE" w:bidi="ar_AE"/>
        </w:rPr>
        <w:t xml:space="preserve"> كلمة مفتاحية في أخبار الأيام؛ يستخدمها الكاتب استخدامًا متكررًا لتوثيق أسباب الحكم ضد ملوك يهوذا.</w:t>
      </w:r>
    </w:p>
    <w:p>
      <w:pPr>
        <w:bidi/>
      </w:pPr>
      <w:r>
        <w:rPr>
          <w:lang w:val="ar_AE" w:bidi="ar_AE"/>
        </w:rPr>
      </w:r>
      <w:r>
        <w:rPr>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6">
        <w:r>
          <w:rPr>
            <w:lang w:val="ar_AE" w:bidi="ar_AE"/>
          </w:rPr>
          <w:rPr>
            <w:color w:val="0000EE"/>
            <w:u w:val="single"/>
          </w:rPr>
          <w:t>2 أخبار 7:14</w:t>
        </w:r>
      </w:hyperlink>
      <w:r>
        <w:rPr>
          <w:lang w:val="ar_AE" w:bidi="ar_AE"/>
        </w:rPr>
        <w:t>). يُذكِّر هذا الوعد الناس بالشروط اللازمة للاستعادة: التواضع، الصلاة، التوبة، والشفاء.</w:t>
      </w:r>
    </w:p>
    <w:p>
      <w:pPr>
        <w:bidi/>
      </w:pPr>
      <w:r>
        <w:rPr>
          <w:lang w:val="ar_AE" w:bidi="ar_AE"/>
        </w:rPr>
      </w:r>
      <w:r>
        <w:rPr>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lang w:val="ar_AE" w:bidi="ar_AE"/>
        </w:rPr>
        <w:t xml:space="preserve"> (انظر </w:t>
      </w:r>
      <w:hyperlink r:id="rId47">
        <w:r>
          <w:rPr>
            <w:lang w:val="ar_AE" w:bidi="ar_AE"/>
          </w:rPr>
          <w:rPr>
            <w:color w:val="0000EE"/>
            <w:u w:val="single"/>
          </w:rPr>
          <w:t>1 أخبار 9:3</w:t>
        </w:r>
      </w:hyperlink>
      <w:r>
        <w:rPr>
          <w:lang w:val="ar_AE" w:bidi="ar_AE"/>
        </w:rPr>
        <w:t xml:space="preserve">). </w:t>
      </w:r>
      <w:r>
        <w:rPr>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