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lang w:val="ar_AE" w:bidi="ar_AE"/>
        </w:rPr>
        <w:t>أحداث السِفر وخلفيته</w:t>
      </w:r>
    </w:p>
    <w:p>
      <w:pPr>
        <w:bidi/>
      </w:pPr>
      <w:r>
        <w:rPr>
          <w:lang w:val="ar_AE" w:bidi="ar_AE"/>
        </w:rPr>
      </w:r>
      <w:r>
        <w:rPr>
          <w:lang w:val="ar_AE" w:bidi="ar_AE"/>
        </w:rPr>
        <w:t>يقع سِفر أستير في عهد الملك زركسيس (</w:t>
      </w:r>
      <w:r>
        <w:rPr>
          <w:lang w:val="ar_AE" w:bidi="ar_AE"/>
        </w:rPr>
        <w:t>أَحَشْوِيرُوش</w:t>
      </w:r>
      <w:r>
        <w:rPr>
          <w:lang w:val="ar_AE" w:bidi="ar_AE"/>
        </w:rPr>
        <w:t>) الفارسيّ (486–465 قبل الميلاد). في جيل سابق (538 قبل الميلاد)، عاد 50,000 شخص تقريبًا إلى يهوذا من بابل (</w:t>
      </w:r>
      <w:hyperlink r:id="rId13">
        <w:r>
          <w:rPr>
            <w:lang w:val="ar_AE" w:bidi="ar_AE"/>
          </w:rPr>
          <w:rPr>
            <w:color w:val="0000EE"/>
            <w:u w:val="single"/>
          </w:rPr>
          <w:t>عزرا 1:1–5؛</w:t>
        </w:r>
      </w:hyperlink>
      <w:r>
        <w:rPr>
          <w:lang w:val="ar_AE" w:bidi="ar_AE"/>
        </w:rPr>
        <w:t xml:space="preserve"> </w:t>
      </w:r>
      <w:hyperlink r:id="rId14">
        <w:r>
          <w:rPr>
            <w:lang w:val="ar_AE" w:bidi="ar_AE"/>
          </w:rPr>
          <w:rPr>
            <w:color w:val="0000EE"/>
            <w:u w:val="single"/>
          </w:rPr>
          <w:t>2:64–67</w:t>
        </w:r>
      </w:hyperlink>
      <w:r>
        <w:rPr>
          <w:lang w:val="ar_AE" w:bidi="ar_AE"/>
        </w:rPr>
        <w:t>). لكن العديد من العائلات اليهودية، بما في ذلك عائلة أستير، بقيتْ هناك.</w:t>
      </w:r>
    </w:p>
    <w:p>
      <w:pPr>
        <w:bidi/>
      </w:pPr>
      <w:r>
        <w:rPr>
          <w:lang w:val="ar_AE" w:bidi="ar_AE"/>
        </w:rPr>
      </w:r>
      <w:r>
        <w:rPr>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lang w:val="ar_AE" w:bidi="ar_AE"/>
        </w:rPr>
        <w:t>الخُلاصة</w:t>
      </w:r>
    </w:p>
    <w:p>
      <w:pPr>
        <w:bidi/>
      </w:pPr>
      <w:r>
        <w:rPr>
          <w:lang w:val="ar_AE" w:bidi="ar_AE"/>
        </w:rPr>
      </w:r>
      <w:r>
        <w:rPr>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5">
        <w:r>
          <w:rPr>
            <w:lang w:val="ar_AE" w:bidi="ar_AE"/>
          </w:rPr>
          <w:rPr>
            <w:color w:val="0000EE"/>
            <w:u w:val="single"/>
          </w:rPr>
          <w:t>1:1–2:4</w:t>
        </w:r>
      </w:hyperlink>
      <w:r>
        <w:rPr>
          <w:lang w:val="ar_AE" w:bidi="ar_AE"/>
        </w:rPr>
        <w:t>). اختيرت أستير، ابنة عم مردخاي، وهي يهودية (</w:t>
      </w:r>
      <w:hyperlink r:id="rId16">
        <w:r>
          <w:rPr>
            <w:lang w:val="ar_AE" w:bidi="ar_AE"/>
          </w:rPr>
          <w:rPr>
            <w:color w:val="0000EE"/>
            <w:u w:val="single"/>
          </w:rPr>
          <w:t>2:5–18</w:t>
        </w:r>
      </w:hyperlink>
      <w:r>
        <w:rPr>
          <w:lang w:val="ar_AE" w:bidi="ar_AE"/>
        </w:rPr>
        <w:t>).</w:t>
      </w:r>
    </w:p>
    <w:p>
      <w:pPr>
        <w:bidi/>
      </w:pPr>
      <w:r>
        <w:rPr>
          <w:lang w:val="ar_AE" w:bidi="ar_AE"/>
        </w:rPr>
      </w:r>
      <w:r>
        <w:rPr>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7">
        <w:r>
          <w:rPr>
            <w:lang w:val="ar_AE" w:bidi="ar_AE"/>
          </w:rPr>
          <w:rPr>
            <w:color w:val="0000EE"/>
            <w:u w:val="single"/>
          </w:rPr>
          <w:t>2:19–3:15</w:t>
        </w:r>
      </w:hyperlink>
      <w:r>
        <w:rPr>
          <w:lang w:val="ar_AE" w:bidi="ar_AE"/>
        </w:rPr>
        <w:t>). بينما كانت الجالية اليهودية تصلي (</w:t>
      </w:r>
      <w:hyperlink r:id="rId18">
        <w:r>
          <w:rPr>
            <w:lang w:val="ar_AE" w:bidi="ar_AE"/>
          </w:rPr>
          <w:rPr>
            <w:color w:val="0000EE"/>
            <w:u w:val="single"/>
          </w:rPr>
          <w:t>4:16</w:t>
        </w:r>
      </w:hyperlink>
      <w:r>
        <w:rPr>
          <w:lang w:val="ar_AE" w:bidi="ar_AE"/>
        </w:rPr>
        <w:t>)، خاطرت أستير بحياتها وتوجَّهتْ إلى الملك دون دعوة وطلبت من الملك وهامان الحضور إلى وليمة (</w:t>
      </w:r>
      <w:hyperlink r:id="rId19">
        <w:r>
          <w:rPr>
            <w:lang w:val="ar_AE" w:bidi="ar_AE"/>
          </w:rPr>
          <w:rPr>
            <w:color w:val="0000EE"/>
            <w:u w:val="single"/>
          </w:rPr>
          <w:t>الإصحاح 4</w:t>
        </w:r>
      </w:hyperlink>
      <w:r>
        <w:rPr>
          <w:lang w:val="ar_AE" w:bidi="ar_AE"/>
        </w:rPr>
        <w:t>). في هذه الأثناء، كان هامان قد بَنَى عمودًا ليصلب مردخاي عليه (</w:t>
      </w:r>
      <w:hyperlink r:id="rId20">
        <w:r>
          <w:rPr>
            <w:lang w:val="ar_AE" w:bidi="ar_AE"/>
          </w:rPr>
          <w:rPr>
            <w:color w:val="0000EE"/>
            <w:u w:val="single"/>
          </w:rPr>
          <w:t>5:14</w:t>
        </w:r>
      </w:hyperlink>
      <w:r>
        <w:rPr>
          <w:lang w:val="ar_AE" w:bidi="ar_AE"/>
        </w:rPr>
        <w:t>).</w:t>
      </w:r>
    </w:p>
    <w:p>
      <w:pPr>
        <w:bidi/>
      </w:pPr>
      <w:r>
        <w:rPr>
          <w:lang w:val="ar_AE" w:bidi="ar_AE"/>
        </w:rPr>
      </w:r>
      <w:r>
        <w:rPr>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1">
        <w:r>
          <w:rPr>
            <w:lang w:val="ar_AE" w:bidi="ar_AE"/>
          </w:rPr>
          <w:rPr>
            <w:color w:val="0000EE"/>
            <w:u w:val="single"/>
          </w:rPr>
          <w:t>الإصحاح 6</w:t>
        </w:r>
      </w:hyperlink>
      <w:r>
        <w:rPr>
          <w:lang w:val="ar_AE" w:bidi="ar_AE"/>
        </w:rPr>
        <w:t>). ثم، في الوليمة، كشفت أستير أن مؤامرة هامان كانت هجومًا شخصيًا على شعبها. أُعدِمَ هامان على الخشبة التي أعدَّها لمُردخاي (</w:t>
      </w:r>
      <w:hyperlink r:id="rId22">
        <w:r>
          <w:rPr>
            <w:lang w:val="ar_AE" w:bidi="ar_AE"/>
          </w:rPr>
          <w:rPr>
            <w:color w:val="0000EE"/>
            <w:u w:val="single"/>
          </w:rPr>
          <w:t>الإصحاح 7</w:t>
        </w:r>
      </w:hyperlink>
      <w:r>
        <w:rPr>
          <w:lang w:val="ar_AE" w:bidi="ar_AE"/>
        </w:rPr>
        <w:t>).</w:t>
      </w:r>
    </w:p>
    <w:p>
      <w:pPr>
        <w:bidi/>
      </w:pPr>
      <w:r>
        <w:rPr>
          <w:lang w:val="ar_AE" w:bidi="ar_AE"/>
        </w:rPr>
      </w:r>
      <w:r>
        <w:rPr>
          <w:lang w:val="ar_AE" w:bidi="ar_AE"/>
        </w:rPr>
        <w:t>سمح الملك زركسيس للشعب اليهودي بالدفاع عن أنفسهم ضد أعدائهم (</w:t>
      </w:r>
      <w:hyperlink r:id="rId23">
        <w:r>
          <w:rPr>
            <w:lang w:val="ar_AE" w:bidi="ar_AE"/>
          </w:rPr>
          <w:rPr>
            <w:color w:val="0000EE"/>
            <w:u w:val="single"/>
          </w:rPr>
          <w:t>8:1–14</w:t>
        </w:r>
      </w:hyperlink>
      <w:r>
        <w:rPr>
          <w:lang w:val="ar_AE" w:bidi="ar_AE"/>
        </w:rPr>
        <w:t>). ابتهج اليهود، ورُقِّيَ مردخاي وأُعدم أبناء هامان (</w:t>
      </w:r>
      <w:hyperlink r:id="rId24">
        <w:r>
          <w:rPr>
            <w:lang w:val="ar_AE" w:bidi="ar_AE"/>
          </w:rPr>
          <w:rPr>
            <w:color w:val="0000EE"/>
            <w:u w:val="single"/>
          </w:rPr>
          <w:t>9:1–17</w:t>
        </w:r>
      </w:hyperlink>
      <w:r>
        <w:rPr>
          <w:lang w:val="ar_AE" w:bidi="ar_AE"/>
        </w:rPr>
        <w:t>). دافع الشعب اليهودي عن أنفسهم بنجاح واحتفلوا بخلاص الله الرائع في أول عيد الفوريم.</w:t>
      </w:r>
    </w:p>
    <w:p>
      <w:pPr>
        <w:pStyle w:val="Heading2"/>
        <w:bidi/>
      </w:pPr>
      <w:r>
        <w:rPr>
          <w:lang w:val="ar_AE" w:bidi="ar_AE"/>
        </w:rPr>
        <w:t>كاتِب السِفر وتاريخ كتابته</w:t>
      </w:r>
    </w:p>
    <w:p>
      <w:pPr>
        <w:bidi/>
      </w:pPr>
      <w:r>
        <w:rPr>
          <w:lang w:val="ar_AE" w:bidi="ar_AE"/>
        </w:rPr>
      </w:r>
      <w:r>
        <w:rPr>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lang w:val="ar_AE" w:bidi="ar_AE"/>
        </w:rPr>
        <w:t>نوع الأدب: تاريخ أم قصة خيالية؟</w:t>
      </w:r>
    </w:p>
    <w:p>
      <w:pPr>
        <w:bidi/>
      </w:pPr>
      <w:r>
        <w:rPr>
          <w:lang w:val="ar_AE" w:bidi="ar_AE"/>
        </w:rPr>
      </w:r>
      <w:r>
        <w:rPr>
          <w:lang w:val="ar_AE" w:bidi="ar_AE"/>
        </w:rPr>
        <w:t>يروي سِفر أستير سيرة ذاتية تشبه قصة يُوسُف (</w:t>
      </w:r>
      <w:hyperlink r:id="rId25">
        <w:r>
          <w:rPr>
            <w:lang w:val="ar_AE" w:bidi="ar_AE"/>
          </w:rPr>
          <w:rPr>
            <w:color w:val="0000EE"/>
            <w:u w:val="single"/>
          </w:rPr>
          <w:t>تكوين 37–48</w:t>
        </w:r>
      </w:hyperlink>
      <w:r>
        <w:rPr>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lang w:val="ar_AE" w:bidi="ar_AE"/>
        </w:rPr>
      </w:r>
      <w:r>
        <w:rPr>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5">
        <w:r>
          <w:rPr>
            <w:lang w:val="ar_AE" w:bidi="ar_AE"/>
          </w:rPr>
          <w:rPr>
            <w:color w:val="0000EE"/>
            <w:u w:val="single"/>
          </w:rPr>
          <w:t>تكوين 37–48؛</w:t>
        </w:r>
      </w:hyperlink>
      <w:r>
        <w:rPr>
          <w:lang w:val="ar_AE" w:bidi="ar_AE"/>
        </w:rPr>
        <w:t xml:space="preserve"> </w:t>
      </w:r>
      <w:hyperlink r:id="rId26">
        <w:r>
          <w:rPr>
            <w:lang w:val="ar_AE" w:bidi="ar_AE"/>
          </w:rPr>
          <w:rPr>
            <w:color w:val="0000EE"/>
            <w:u w:val="single"/>
          </w:rPr>
          <w:t>راعوث 1–4</w:t>
        </w:r>
      </w:hyperlink>
      <w:r>
        <w:rPr>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lang w:val="ar_AE" w:bidi="ar_AE"/>
        </w:rPr>
        <w:t>تتمة سِفر أستير</w:t>
      </w:r>
    </w:p>
    <w:p>
      <w:pPr>
        <w:bidi/>
      </w:pPr>
      <w:r>
        <w:rPr>
          <w:lang w:val="ar_AE" w:bidi="ar_AE"/>
        </w:rPr>
      </w:r>
      <w:r>
        <w:rPr>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lang w:val="ar_AE" w:bidi="ar_AE"/>
        </w:rPr>
        <w:t>المعنى والرسالة</w:t>
      </w:r>
    </w:p>
    <w:p>
      <w:pPr>
        <w:bidi/>
      </w:pPr>
      <w:r>
        <w:rPr>
          <w:lang w:val="ar_AE" w:bidi="ar_AE"/>
        </w:rPr>
      </w:r>
      <w:r>
        <w:rPr>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7">
        <w:r>
          <w:rPr>
            <w:lang w:val="ar_AE" w:bidi="ar_AE"/>
          </w:rPr>
          <w:rPr>
            <w:color w:val="0000EE"/>
            <w:u w:val="single"/>
          </w:rPr>
          <w:t>1–2</w:t>
        </w:r>
      </w:hyperlink>
      <w:r>
        <w:rPr>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