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hyperlink r:id="rId13">
        <w:r>
          <w:rPr>
            <w:lang w:val="fr_FR" w:bidi="fr_FR"/>
          </w:rPr>
          <w:rPr>
            <w:color w:val="0000EE"/>
            <w:u w:val="single"/>
          </w:rPr>
          <w:t>Ex 32.1–4</w:t>
        </w:r>
      </w:hyperlink>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hyperlink r:id="rId14">
        <w:r>
          <w:rPr>
            <w:lang w:val="fr_FR" w:bidi="fr_FR"/>
          </w:rPr>
          <w:rPr>
            <w:color w:val="0000EE"/>
            <w:u w:val="single"/>
          </w:rPr>
          <w:t>1.1–2.3</w:t>
        </w:r>
      </w:hyperlink>
      <w:r>
        <w:rPr>
          <w:lang w:val="fr_FR" w:bidi="fr_FR"/>
        </w:rPr>
        <w:t>) n'a pas de titre toledoth ; c'est le récit de la création « au commencement » (</w:t>
      </w:r>
      <w:hyperlink r:id="rId15">
        <w:r>
          <w:rPr>
            <w:lang w:val="fr_FR" w:bidi="fr_FR"/>
          </w:rPr>
          <w:rPr>
            <w:color w:val="0000EE"/>
            <w:u w:val="single"/>
          </w:rPr>
          <w:t>1.1</w:t>
        </w:r>
      </w:hyperlink>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hyperlink r:id="rId16">
        <w:r>
          <w:rPr>
            <w:lang w:val="fr_FR" w:bidi="fr_FR"/>
          </w:rPr>
          <w:rPr>
            <w:color w:val="0000EE"/>
            <w:u w:val="single"/>
          </w:rPr>
          <w:t>2.4–4.26</w:t>
        </w:r>
      </w:hyperlink>
      <w:r>
        <w:rPr>
          <w:lang w:val="fr_FR" w:bidi="fr_FR"/>
        </w:rPr>
        <w:t>) porte sur la création de la vie humaine (</w:t>
      </w:r>
      <w:hyperlink r:id="rId17">
        <w:r>
          <w:rPr>
            <w:lang w:val="fr_FR" w:bidi="fr_FR"/>
          </w:rPr>
          <w:rPr>
            <w:color w:val="0000EE"/>
            <w:u w:val="single"/>
          </w:rPr>
          <w:t>2.4–25</w:t>
        </w:r>
      </w:hyperlink>
      <w:r>
        <w:rPr>
          <w:lang w:val="fr_FR" w:bidi="fr_FR"/>
        </w:rPr>
        <w:t>) et retrace ce qu'il est advenu de la création de Dieu à cause du péché d'Adam et d'Ève (</w:t>
      </w:r>
      <w:hyperlink r:id="rId18">
        <w:r>
          <w:rPr>
            <w:lang w:val="fr_FR" w:bidi="fr_FR"/>
          </w:rPr>
          <w:rPr>
            <w:color w:val="0000EE"/>
            <w:u w:val="single"/>
          </w:rPr>
          <w:t>3.1–13</w:t>
        </w:r>
      </w:hyperlink>
      <w:r>
        <w:rPr>
          <w:lang w:val="fr_FR" w:bidi="fr_FR"/>
        </w:rPr>
        <w:t>), de la malédiction sur leur péché (</w:t>
      </w:r>
      <w:hyperlink r:id="rId19">
        <w:r>
          <w:rPr>
            <w:lang w:val="fr_FR" w:bidi="fr_FR"/>
          </w:rPr>
          <w:rPr>
            <w:color w:val="0000EE"/>
            <w:u w:val="single"/>
          </w:rPr>
          <w:t>3.14–24</w:t>
        </w:r>
      </w:hyperlink>
      <w:r>
        <w:rPr>
          <w:lang w:val="fr_FR" w:bidi="fr_FR"/>
        </w:rPr>
        <w:t>) et de l'extension de ce péché à leurs descendants (</w:t>
      </w:r>
      <w:hyperlink r:id="rId20">
        <w:r>
          <w:rPr>
            <w:lang w:val="fr_FR" w:bidi="fr_FR"/>
          </w:rPr>
          <w:rPr>
            <w:color w:val="0000EE"/>
            <w:u w:val="single"/>
          </w:rPr>
          <w:t>4.1–24</w:t>
        </w:r>
      </w:hyperlink>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hyperlink r:id="rId21">
        <w:r>
          <w:rPr>
            <w:lang w:val="fr_FR" w:bidi="fr_FR"/>
          </w:rPr>
          <w:rPr>
            <w:color w:val="0000EE"/>
            <w:u w:val="single"/>
          </w:rPr>
          <w:t>5.1–6.8</w:t>
        </w:r>
      </w:hyperlink>
      <w:r>
        <w:rPr>
          <w:lang w:val="fr_FR" w:bidi="fr_FR"/>
        </w:rPr>
        <w:t xml:space="preserve">). La généalogie de </w:t>
      </w:r>
      <w:hyperlink r:id="rId22">
        <w:r>
          <w:rPr>
            <w:lang w:val="fr_FR" w:bidi="fr_FR"/>
          </w:rPr>
          <w:rPr>
            <w:color w:val="0000EE"/>
            <w:u w:val="single"/>
          </w:rPr>
          <w:t>5.1–32</w:t>
        </w:r>
      </w:hyperlink>
      <w:r>
        <w:rPr>
          <w:lang w:val="fr_FR" w:bidi="fr_FR"/>
        </w:rPr>
        <w:t xml:space="preserve"> commence par rappeler que les êtres humains ont été créés à l'image de Dieu et ont été bénis par lui (</w:t>
      </w:r>
      <w:hyperlink r:id="rId23">
        <w:r>
          <w:rPr>
            <w:lang w:val="fr_FR" w:bidi="fr_FR"/>
          </w:rPr>
          <w:rPr>
            <w:color w:val="0000EE"/>
            <w:u w:val="single"/>
          </w:rPr>
          <w:t>5.1–2</w:t>
        </w:r>
      </w:hyperlink>
      <w:r>
        <w:rPr>
          <w:lang w:val="fr_FR" w:bidi="fr_FR"/>
        </w:rPr>
        <w:t xml:space="preserve">). Tout au long de la généalogie, la mort de chaque génération rappelle au lecteur la malédiction, Hénoch faisant naître une lueur d'espoir qu'elle n'est pas définitive. En </w:t>
      </w:r>
      <w:hyperlink r:id="rId24">
        <w:r>
          <w:rPr>
            <w:lang w:val="fr_FR" w:bidi="fr_FR"/>
          </w:rPr>
          <w:rPr>
            <w:color w:val="0000EE"/>
            <w:u w:val="single"/>
          </w:rPr>
          <w:t>6.1–8</w:t>
        </w:r>
      </w:hyperlink>
      <w:r>
        <w:rPr>
          <w:lang w:val="fr_FR" w:bidi="fr_FR"/>
        </w:rPr>
        <w:t>, nous apprenons comment Dieu, regrettant d'avoir créé les êtres humains, décide de juger la terre. Pourtant, Noé reçoit la faveur de Dieu et devient une source d'espoir (</w:t>
      </w:r>
      <w:hyperlink r:id="rId25">
        <w:r>
          <w:rPr>
            <w:lang w:val="fr_FR" w:bidi="fr_FR"/>
          </w:rPr>
          <w:rPr>
            <w:color w:val="0000EE"/>
            <w:u w:val="single"/>
          </w:rPr>
          <w:t>5.29</w:t>
        </w:r>
      </w:hyperlink>
      <w:r>
        <w:rPr>
          <w:lang w:val="fr_FR" w:bidi="fr_FR"/>
        </w:rPr>
        <w:t xml:space="preserve"> ; </w:t>
      </w:r>
      <w:hyperlink r:id="rId26">
        <w:r>
          <w:rPr>
            <w:lang w:val="fr_FR" w:bidi="fr_FR"/>
          </w:rPr>
          <w:rPr>
            <w:color w:val="0000EE"/>
            <w:u w:val="single"/>
          </w:rPr>
          <w:t>6.8</w:t>
        </w:r>
      </w:hyperlink>
      <w:r>
        <w:rPr>
          <w:lang w:val="fr_FR" w:bidi="fr_FR"/>
        </w:rPr>
        <w:t>).</w:t>
      </w:r>
    </w:p>
    <w:p>
      <w:pPr/>
      <w:r>
        <w:rPr>
          <w:lang w:val="fr_FR" w:bidi="fr_FR"/>
        </w:rPr>
      </w:r>
      <w:r>
        <w:rPr>
          <w:lang w:val="fr_FR" w:bidi="fr_FR"/>
        </w:rPr>
        <w:t>La section suivante (</w:t>
      </w:r>
      <w:hyperlink r:id="rId27">
        <w:r>
          <w:rPr>
            <w:lang w:val="fr_FR" w:bidi="fr_FR"/>
          </w:rPr>
          <w:rPr>
            <w:color w:val="0000EE"/>
            <w:u w:val="single"/>
          </w:rPr>
          <w:t>6.9–9.29</w:t>
        </w:r>
      </w:hyperlink>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hyperlink r:id="rId28">
        <w:r>
          <w:rPr>
            <w:lang w:val="fr_FR" w:bidi="fr_FR"/>
          </w:rPr>
          <w:rPr>
            <w:color w:val="0000EE"/>
            <w:u w:val="single"/>
          </w:rPr>
          <w:t>10.1–11.9</w:t>
        </w:r>
      </w:hyperlink>
      <w:r>
        <w:rPr>
          <w:lang w:val="fr_FR" w:bidi="fr_FR"/>
        </w:rPr>
        <w:t>), les êtres humains montrent à nouveau leur disposition à la désobéissance. À cause de leur rébellion, Dieu les disperse pour éviter qu'une plus grande impiété ne se répande (</w:t>
      </w:r>
      <w:hyperlink r:id="rId29">
        <w:r>
          <w:rPr>
            <w:lang w:val="fr_FR" w:bidi="fr_FR"/>
          </w:rPr>
          <w:rPr>
            <w:color w:val="0000EE"/>
            <w:u w:val="single"/>
          </w:rPr>
          <w:t>11.1–9</w:t>
        </w:r>
      </w:hyperlink>
      <w:r>
        <w:rPr>
          <w:lang w:val="fr_FR" w:bidi="fr_FR"/>
        </w:rPr>
        <w:t>).</w:t>
      </w:r>
    </w:p>
    <w:p>
      <w:pPr/>
      <w:r>
        <w:rPr>
          <w:lang w:val="fr_FR" w:bidi="fr_FR"/>
        </w:rPr>
      </w:r>
      <w:r>
        <w:rPr>
          <w:lang w:val="fr_FR" w:bidi="fr_FR"/>
        </w:rPr>
        <w:t xml:space="preserve">Après le chaos des nations dispersées, </w:t>
      </w:r>
      <w:hyperlink r:id="rId30">
        <w:r>
          <w:rPr>
            <w:lang w:val="fr_FR" w:bidi="fr_FR"/>
          </w:rPr>
          <w:rPr>
            <w:color w:val="0000EE"/>
            <w:u w:val="single"/>
          </w:rPr>
          <w:t>11.10–26</w:t>
        </w:r>
      </w:hyperlink>
      <w:r>
        <w:rPr>
          <w:lang w:val="fr_FR" w:bidi="fr_FR"/>
        </w:rPr>
        <w:t xml:space="preserve"> ramène notre attention sur Abram, par l'intermédiaire duquel Dieu choisit d'apporter la bénédiction à tous. Le reste du livre (</w:t>
      </w:r>
      <w:hyperlink r:id="rId31">
        <w:r>
          <w:rPr>
            <w:lang w:val="fr_FR" w:bidi="fr_FR"/>
          </w:rPr>
          <w:rPr>
            <w:color w:val="0000EE"/>
            <w:u w:val="single"/>
          </w:rPr>
          <w:t>11.27–50.26</w:t>
        </w:r>
      </w:hyperlink>
      <w:r>
        <w:rPr>
          <w:lang w:val="fr_FR" w:bidi="fr_FR"/>
        </w:rPr>
        <w:t>) parle de la bénédiction divine sur lui et sur ses descendants. Dieu fait d'abord une alliance avec lui (</w:t>
      </w:r>
      <w:hyperlink r:id="rId32">
        <w:r>
          <w:rPr>
            <w:lang w:val="fr_FR" w:bidi="fr_FR"/>
          </w:rPr>
          <w:rPr>
            <w:color w:val="0000EE"/>
            <w:u w:val="single"/>
          </w:rPr>
          <w:t>11.27–25.11</w:t>
        </w:r>
      </w:hyperlink>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3">
        <w:r>
          <w:rPr>
            <w:lang w:val="fr_FR" w:bidi="fr_FR"/>
          </w:rPr>
          <w:rPr>
            <w:color w:val="0000EE"/>
            <w:u w:val="single"/>
          </w:rPr>
          <w:t>25.12–18</w:t>
        </w:r>
      </w:hyperlink>
      <w:r>
        <w:rPr>
          <w:lang w:val="fr_FR" w:bidi="fr_FR"/>
        </w:rPr>
        <w:t>), la Genèse retrace en détail ce qui arrive à Isaac et à sa famille (</w:t>
      </w:r>
      <w:hyperlink r:id="rId34">
        <w:r>
          <w:rPr>
            <w:lang w:val="fr_FR" w:bidi="fr_FR"/>
          </w:rPr>
          <w:rPr>
            <w:color w:val="0000EE"/>
            <w:u w:val="single"/>
          </w:rPr>
          <w:t>25.19–35.29</w:t>
        </w:r>
      </w:hyperlink>
      <w:r>
        <w:rPr>
          <w:lang w:val="fr_FR" w:bidi="fr_FR"/>
        </w:rPr>
        <w:t>). De même, la lignée d'Ésaü (Édom) reçoit un bref traitement (</w:t>
      </w:r>
      <w:hyperlink r:id="rId35">
        <w:r>
          <w:rPr>
            <w:lang w:val="fr_FR" w:bidi="fr_FR"/>
          </w:rPr>
          <w:rPr>
            <w:color w:val="0000EE"/>
            <w:u w:val="single"/>
          </w:rPr>
          <w:t>36.1–37.1</w:t>
        </w:r>
      </w:hyperlink>
      <w:r>
        <w:rPr>
          <w:lang w:val="fr_FR" w:bidi="fr_FR"/>
        </w:rPr>
        <w:t>) avant la longue section finale traitant de la lignée choisie de Jacob, l'héritier (</w:t>
      </w:r>
      <w:hyperlink r:id="rId36">
        <w:r>
          <w:rPr>
            <w:lang w:val="fr_FR" w:bidi="fr_FR"/>
          </w:rPr>
          <w:rPr>
            <w:color w:val="0000EE"/>
            <w:u w:val="single"/>
          </w:rPr>
          <w:t>37.2–50.26</w:t>
        </w:r>
      </w:hyperlink>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7">
        <w:r>
          <w:rPr>
            <w:lang w:val="fr_FR" w:bidi="fr_FR"/>
          </w:rPr>
          <w:rPr>
            <w:color w:val="0000EE"/>
            <w:u w:val="single"/>
          </w:rPr>
          <w:t>50.24–26</w:t>
        </w:r>
      </w:hyperlink>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hyperlink r:id="rId38">
        <w:r>
          <w:rPr>
            <w:lang w:val="fr_FR" w:bidi="fr_FR"/>
          </w:rPr>
          <w:rPr>
            <w:color w:val="0000EE"/>
            <w:u w:val="single"/>
          </w:rPr>
          <w:t>Ac 7.22</w:t>
        </w:r>
      </w:hyperlink>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hyperlink r:id="rId39">
        <w:r>
          <w:rPr>
            <w:lang w:val="fr_FR" w:bidi="fr_FR"/>
          </w:rPr>
          <w:rPr>
            <w:color w:val="0000EE"/>
            <w:u w:val="single"/>
          </w:rPr>
          <w:t>Dt 34</w:t>
        </w:r>
      </w:hyperlink>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hyperlink r:id="rId40">
        <w:r>
          <w:rPr>
            <w:lang w:val="fr_FR" w:bidi="fr_FR"/>
          </w:rPr>
          <w:rPr>
            <w:color w:val="0000EE"/>
            <w:u w:val="single"/>
          </w:rPr>
          <w:t>36.31–43</w:t>
        </w:r>
      </w:hyperlink>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1">
        <w:r>
          <w:rPr>
            <w:lang w:val="fr_FR" w:bidi="fr_FR"/>
          </w:rPr>
          <w:rPr>
            <w:color w:val="0000EE"/>
            <w:u w:val="single"/>
          </w:rPr>
          <w:t>Gn 38.15</w:t>
        </w:r>
      </w:hyperlink>
      <w:r>
        <w:rPr>
          <w:lang w:val="fr_FR" w:bidi="fr_FR"/>
        </w:rPr>
        <w:t xml:space="preserve">, </w:t>
      </w:r>
      <w:hyperlink r:id="rId42">
        <w:r>
          <w:rPr>
            <w:lang w:val="fr_FR" w:bidi="fr_FR"/>
          </w:rPr>
          <w:rPr>
            <w:color w:val="0000EE"/>
            <w:u w:val="single"/>
          </w:rPr>
          <w:t>21–22</w:t>
        </w:r>
      </w:hyperlink>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3">
        <w:r>
          <w:rPr>
            <w:lang w:val="fr_FR" w:bidi="fr_FR"/>
          </w:rPr>
          <w:rPr>
            <w:color w:val="0000EE"/>
            <w:u w:val="single"/>
          </w:rPr>
          <w:t>1.14–18</w:t>
        </w:r>
      </w:hyperlink>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hyperlink r:id="rId44">
        <w:r>
          <w:rPr>
            <w:lang w:val="fr_FR" w:bidi="fr_FR"/>
          </w:rPr>
          <w:rPr>
            <w:color w:val="0000EE"/>
            <w:u w:val="single"/>
          </w:rPr>
          <w:t>Genèse 2</w:t>
        </w:r>
      </w:hyperlink>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hyperlink r:id="rId45">
        <w:r>
          <w:rPr>
            <w:lang w:val="fr_FR" w:bidi="fr_FR"/>
          </w:rPr>
          <w:rPr>
            <w:color w:val="0000EE"/>
            <w:u w:val="single"/>
          </w:rPr>
          <w:t>12.1–3</w:t>
        </w:r>
      </w:hyperlink>
      <w:r>
        <w:rPr>
          <w:lang w:val="fr_FR" w:bidi="fr_FR"/>
        </w:rPr>
        <w:t xml:space="preserve"> ; </w:t>
      </w:r>
      <w:hyperlink r:id="rId46">
        <w:r>
          <w:rPr>
            <w:lang w:val="fr_FR" w:bidi="fr_FR"/>
          </w:rPr>
          <w:rPr>
            <w:color w:val="0000EE"/>
            <w:u w:val="single"/>
          </w:rPr>
          <w:t>15.1–21</w:t>
        </w:r>
      </w:hyperlink>
      <w:r>
        <w:rPr>
          <w:lang w:val="fr_FR" w:bidi="fr_FR"/>
        </w:rPr>
        <w:t xml:space="preserve"> ; </w:t>
      </w:r>
      <w:hyperlink r:id="rId47">
        <w:r>
          <w:rPr>
            <w:lang w:val="fr_FR" w:bidi="fr_FR"/>
          </w:rPr>
          <w:rPr>
            <w:color w:val="0000EE"/>
            <w:u w:val="single"/>
          </w:rPr>
          <w:t>17.1–8</w:t>
        </w:r>
      </w:hyperlink>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48">
        <w:r>
          <w:rPr>
            <w:lang w:val="fr_FR" w:bidi="fr_FR"/>
          </w:rPr>
          <w:rPr>
            <w:color w:val="0000EE"/>
            <w:u w:val="single"/>
          </w:rPr>
          <w:t>Rm 8.28</w:t>
        </w:r>
      </w:hyperlink>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49">
        <w:r>
          <w:rPr>
            <w:lang w:val="fr_FR" w:bidi="fr_FR"/>
          </w:rPr>
          <w:rPr>
            <w:color w:val="0000EE"/>
            <w:u w:val="single"/>
          </w:rPr>
          <w:t>Hé 11.6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