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2"/>
      </w:pPr>
      <w:r>
        <w:rPr>
          <w:lang w:val="pt_PT" w:bidi="pt_PT"/>
        </w:rPr>
        <w:t>Contexto</w:t>
      </w:r>
    </w:p>
    <w:p>
      <w:pPr/>
      <w:r>
        <w:rPr>
          <w:lang w:val="pt_PT" w:bidi="pt_PT"/>
        </w:rPr>
      </w:r>
      <w:r>
        <w:rPr>
          <w:lang w:val="pt_PT" w:bidi="pt_PT"/>
        </w:rP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pPr/>
      <w:r>
        <w:rPr>
          <w:lang w:val="pt_PT" w:bidi="pt_PT"/>
        </w:rPr>
      </w:r>
      <w:r>
        <w:rPr>
          <w:lang w:val="pt_PT" w:bidi="pt_PT"/>
        </w:rP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2"/>
      </w:pPr>
      <w:r>
        <w:rPr>
          <w:lang w:val="pt_PT" w:bidi="pt_PT"/>
        </w:rPr>
        <w:t>Sumário</w:t>
      </w:r>
    </w:p>
    <w:p>
      <w:pPr/>
      <w:r>
        <w:rPr>
          <w:lang w:val="pt_PT" w:bidi="pt_PT"/>
        </w:rPr>
      </w:r>
      <w:r>
        <w:rPr>
          <w:lang w:val="pt_PT" w:bidi="pt_PT"/>
        </w:rPr>
        <w:t>O livro de Números obtém sua estrutura a partir das três etapas da jornada de Israel pelo deserto: (1) os dezenove dias em que Israel se preparou para partir do Monte Sinai (</w:t>
      </w:r>
      <w:hyperlink r:id="rId13">
        <w:r>
          <w:rPr>
            <w:lang w:val="pt_PT" w:bidi="pt_PT"/>
          </w:rPr>
          <w:rPr>
            <w:color w:val="0000EE"/>
            <w:u w:val="single"/>
          </w:rPr>
          <w:t>1.1–10.10</w:t>
        </w:r>
      </w:hyperlink>
      <w:r>
        <w:rPr>
          <w:lang w:val="pt_PT" w:bidi="pt_PT"/>
        </w:rPr>
        <w:t>), (2) a jornada de trinta e nove anos de Sinai até as Campinas de Moabe (</w:t>
      </w:r>
      <w:hyperlink r:id="rId14">
        <w:r>
          <w:rPr>
            <w:lang w:val="pt_PT" w:bidi="pt_PT"/>
          </w:rPr>
          <w:rPr>
            <w:color w:val="0000EE"/>
            <w:u w:val="single"/>
          </w:rPr>
          <w:t>10.11–22.1</w:t>
        </w:r>
      </w:hyperlink>
      <w:r>
        <w:rPr>
          <w:lang w:val="pt_PT" w:bidi="pt_PT"/>
        </w:rPr>
        <w:t>), e (3) os meses finais do acampamento de Israel nas campinas de Moabe pouco antes de entrarem em Canaã (</w:t>
      </w:r>
      <w:hyperlink r:id="rId15">
        <w:r>
          <w:rPr>
            <w:lang w:val="pt_PT" w:bidi="pt_PT"/>
          </w:rPr>
          <w:rPr>
            <w:color w:val="0000EE"/>
            <w:u w:val="single"/>
          </w:rPr>
          <w:t>21.1–36.13</w:t>
        </w:r>
      </w:hyperlink>
      <w:r>
        <w:rPr>
          <w:lang w:val="pt_PT" w:bidi="pt_PT"/>
        </w:rPr>
        <w:t>).</w:t>
      </w:r>
    </w:p>
    <w:p>
      <w:pPr/>
      <w:r>
        <w:rPr>
          <w:lang w:val="pt_PT" w:bidi="pt_PT"/>
        </w:rPr>
      </w:r>
      <w:r>
        <w:rPr>
          <w:lang w:val="pt_PT" w:bidi="pt_PT"/>
        </w:rPr>
        <w:t xml:space="preserve">Os dois registros dos homens de idade militar de Israel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pPr/>
      <w:r>
        <w:rPr>
          <w:lang w:val="pt_PT" w:bidi="pt_PT"/>
        </w:rPr>
      </w:r>
      <w:r>
        <w:rPr>
          <w:lang w:val="pt_PT" w:bidi="pt_PT"/>
        </w:rPr>
        <w:t xml:space="preserve">Ao longo do caminho, os hebreus que saíram do Egito repetidamente se rebelaram (caps </w:t>
      </w:r>
      <w:hyperlink r:id="rId18">
        <w:r>
          <w:rPr>
            <w:lang w:val="pt_PT" w:bidi="pt_PT"/>
          </w:rPr>
          <w:rPr>
            <w:color w:val="0000EE"/>
            <w:u w:val="single"/>
          </w:rPr>
          <w:t>11</w:t>
        </w:r>
      </w:hyperlink>
      <w:r>
        <w:rPr>
          <w:lang w:val="pt_PT" w:bidi="pt_PT"/>
        </w:rPr>
        <w:t xml:space="preserve">, </w:t>
      </w:r>
      <w:hyperlink r:id="rId19">
        <w:r>
          <w:rPr>
            <w:lang w:val="pt_PT" w:bidi="pt_PT"/>
          </w:rPr>
          <w:rPr>
            <w:color w:val="0000EE"/>
            <w:u w:val="single"/>
          </w:rPr>
          <w:t>12</w:t>
        </w:r>
      </w:hyperlink>
      <w:r>
        <w:rPr>
          <w:lang w:val="pt_PT" w:bidi="pt_PT"/>
        </w:rPr>
        <w:t xml:space="preserve">,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16–17</w:t>
        </w:r>
      </w:hyperlink>
      <w:r>
        <w:rPr>
          <w:lang w:val="pt_PT" w:bidi="pt_PT"/>
        </w:rPr>
        <w:t xml:space="preserve">, </w:t>
      </w:r>
      <w:hyperlink r:id="rId22">
        <w:r>
          <w:rPr>
            <w:lang w:val="pt_PT" w:bidi="pt_PT"/>
          </w:rPr>
          <w:rPr>
            <w:color w:val="0000EE"/>
            <w:u w:val="single"/>
          </w:rPr>
          <w:t>20</w:t>
        </w:r>
      </w:hyperlink>
      <w:r>
        <w:rPr>
          <w:lang w:val="pt_PT" w:bidi="pt_PT"/>
        </w:rPr>
        <w:t xml:space="preserve">, </w:t>
      </w:r>
      <w:hyperlink r:id="rId23">
        <w:r>
          <w:rPr>
            <w:lang w:val="pt_PT" w:bidi="pt_PT"/>
          </w:rPr>
          <w:rPr>
            <w:color w:val="0000EE"/>
            <w:u w:val="single"/>
          </w:rPr>
          <w:t>25</w:t>
        </w:r>
      </w:hyperlink>
      <w:r>
        <w:rPr>
          <w:lang w:val="pt_PT" w:bidi="pt_PT"/>
        </w:rPr>
        <w:t>). Todos morreram no deserto, exceto Josué e Calebe, cuja fé foi exemplar (</w:t>
      </w:r>
      <w:hyperlink r:id="rId24">
        <w:r>
          <w:rPr>
            <w:lang w:val="pt_PT" w:bidi="pt_PT"/>
          </w:rPr>
          <w:rPr>
            <w:color w:val="0000EE"/>
            <w:u w:val="single"/>
          </w:rPr>
          <w:t>13.30</w:t>
        </w:r>
      </w:hyperlink>
      <w:r>
        <w:rPr>
          <w:lang w:val="pt_PT" w:bidi="pt_PT"/>
        </w:rPr>
        <w:t xml:space="preserve">; </w:t>
      </w:r>
      <w:hyperlink r:id="rId25">
        <w:r>
          <w:rPr>
            <w:lang w:val="pt_PT" w:bidi="pt_PT"/>
          </w:rPr>
          <w:rPr>
            <w:color w:val="0000EE"/>
            <w:u w:val="single"/>
          </w:rPr>
          <w:t>14.6–9</w:t>
        </w:r>
      </w:hyperlink>
      <w:r>
        <w:rPr>
          <w:lang w:val="pt_PT" w:bidi="pt_PT"/>
        </w:rPr>
        <w:t>).</w:t>
      </w:r>
    </w:p>
    <w:p>
      <w:pPr/>
      <w:r>
        <w:rPr>
          <w:lang w:val="pt_PT" w:bidi="pt_PT"/>
        </w:rPr>
      </w:r>
      <w:r>
        <w:rPr>
          <w:lang w:val="pt_PT" w:bidi="pt_PT"/>
        </w:rPr>
        <w:t xml:space="preserve">O exército de Israel foi testado em várias ocasiões antes de entrar em Canaã (caps </w:t>
      </w:r>
      <w:hyperlink r:id="rId20">
        <w:r>
          <w:rPr>
            <w:lang w:val="pt_PT" w:bidi="pt_PT"/>
          </w:rPr>
          <w:rPr>
            <w:color w:val="0000EE"/>
            <w:u w:val="single"/>
          </w:rPr>
          <w:t>14</w:t>
        </w:r>
      </w:hyperlink>
      <w:r>
        <w:rPr>
          <w:lang w:val="pt_PT" w:bidi="pt_PT"/>
        </w:rPr>
        <w:t xml:space="preserve">, </w:t>
      </w:r>
      <w:hyperlink r:id="rId26">
        <w:r>
          <w:rPr>
            <w:lang w:val="pt_PT" w:bidi="pt_PT"/>
          </w:rPr>
          <w:rPr>
            <w:color w:val="0000EE"/>
            <w:u w:val="single"/>
          </w:rPr>
          <w:t>21</w:t>
        </w:r>
      </w:hyperlink>
      <w:r>
        <w:rPr>
          <w:lang w:val="pt_PT" w:bidi="pt_PT"/>
        </w:rPr>
        <w:t xml:space="preserve">, </w:t>
      </w:r>
      <w:hyperlink r:id="rId27">
        <w:r>
          <w:rPr>
            <w:lang w:val="pt_PT" w:bidi="pt_PT"/>
          </w:rPr>
          <w:rPr>
            <w:color w:val="0000EE"/>
            <w:u w:val="single"/>
          </w:rPr>
          <w:t>31</w:t>
        </w:r>
      </w:hyperlink>
      <w:r>
        <w:rPr>
          <w:lang w:val="pt_PT" w:bidi="pt_PT"/>
        </w:rPr>
        <w:t xml:space="preserve">), e a história de Balaão é recontada (caps </w:t>
      </w:r>
      <w:hyperlink r:id="rId28">
        <w:r>
          <w:rPr>
            <w:lang w:val="pt_PT" w:bidi="pt_PT"/>
          </w:rPr>
          <w:rPr>
            <w:color w:val="0000EE"/>
            <w:u w:val="single"/>
          </w:rPr>
          <w:t>22–24</w:t>
        </w:r>
      </w:hyperlink>
      <w:r>
        <w:rPr>
          <w:lang w:val="pt_PT" w:bidi="pt_PT"/>
        </w:rPr>
        <w:t xml:space="preserve">). Foram feitos arranjos para a colonização de Transjordânia (cap </w:t>
      </w:r>
      <w:hyperlink r:id="rId29">
        <w:r>
          <w:rPr>
            <w:lang w:val="pt_PT" w:bidi="pt_PT"/>
          </w:rPr>
          <w:rPr>
            <w:color w:val="0000EE"/>
            <w:u w:val="single"/>
          </w:rPr>
          <w:t>32</w:t>
        </w:r>
      </w:hyperlink>
      <w:r>
        <w:rPr>
          <w:lang w:val="pt_PT" w:bidi="pt_PT"/>
        </w:rPr>
        <w:t xml:space="preserve">), a jornada pelo deserto foi revisada (cap </w:t>
      </w:r>
      <w:hyperlink r:id="rId30">
        <w:r>
          <w:rPr>
            <w:lang w:val="pt_PT" w:bidi="pt_PT"/>
          </w:rPr>
          <w:rPr>
            <w:color w:val="0000EE"/>
            <w:u w:val="single"/>
          </w:rPr>
          <w:t>33</w:t>
        </w:r>
      </w:hyperlink>
      <w:r>
        <w:rPr>
          <w:lang w:val="pt_PT" w:bidi="pt_PT"/>
        </w:rPr>
        <w:t xml:space="preserve">), e Moisés antecipou a ocupação de Canaã (caps </w:t>
      </w:r>
      <w:hyperlink r:id="rId31">
        <w:r>
          <w:rPr>
            <w:lang w:val="pt_PT" w:bidi="pt_PT"/>
          </w:rPr>
          <w:rPr>
            <w:color w:val="0000EE"/>
            <w:u w:val="single"/>
          </w:rPr>
          <w:t>34–36</w:t>
        </w:r>
      </w:hyperlink>
      <w:r>
        <w:rPr>
          <w:lang w:val="pt_PT" w:bidi="pt_PT"/>
        </w:rPr>
        <w:t>).</w:t>
      </w:r>
    </w:p>
    <w:p>
      <w:pPr/>
      <w:r>
        <w:rPr>
          <w:lang w:val="pt_PT" w:bidi="pt_PT"/>
        </w:rPr>
      </w:r>
      <w:r>
        <w:rPr>
          <w:lang w:val="pt_PT" w:bidi="pt_PT"/>
        </w:rPr>
        <w:t>Números é um estudo de caso sobre como Israel manteve — e falhou em manter — os regulamentos da aliança em suas experiências diárias.</w:t>
      </w:r>
    </w:p>
    <w:p>
      <w:pPr>
        <w:pStyle w:val="Heading2"/>
      </w:pPr>
      <w:r>
        <w:rPr>
          <w:lang w:val="pt_PT" w:bidi="pt_PT"/>
        </w:rPr>
        <w:t>Autoria</w:t>
      </w:r>
    </w:p>
    <w:p>
      <w:pPr/>
      <w:r>
        <w:rPr>
          <w:lang w:val="pt_PT" w:bidi="pt_PT"/>
        </w:rPr>
      </w:r>
      <w:r>
        <w:rPr>
          <w:lang w:val="pt_PT" w:bidi="pt_PT"/>
        </w:rP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hyperlink r:id="rId32">
        <w:r>
          <w:rPr>
            <w:lang w:val="pt_PT" w:bidi="pt_PT"/>
          </w:rPr>
          <w:rPr>
            <w:color w:val="0000EE"/>
            <w:u w:val="single"/>
          </w:rPr>
          <w:t>Num 33.1–2</w:t>
        </w:r>
      </w:hyperlink>
      <w:r>
        <w:rPr>
          <w:lang w:val="pt_PT" w:bidi="pt_PT"/>
        </w:rPr>
        <w:t>). Não há necessidade de excluir Moisés de imediato como o autor principal — com base no conteúdo ou no nível de alfabetização viável na época do Êxodo e da conquista — exceto em passagens como o relato de sua morte (</w:t>
      </w:r>
      <w:hyperlink r:id="rId33">
        <w:r>
          <w:rPr>
            <w:lang w:val="pt_PT" w:bidi="pt_PT"/>
          </w:rPr>
          <w:rPr>
            <w:color w:val="0000EE"/>
            <w:u w:val="single"/>
          </w:rPr>
          <w:t>Deut 34</w:t>
        </w:r>
      </w:hyperlink>
      <w:r>
        <w:rPr>
          <w:lang w:val="pt_PT" w:bidi="pt_PT"/>
        </w:rPr>
        <w:t>). Também é possível que Moisés tenha supervisionado a compilação dos livros creditados a ele ou, como o apóstolo Paulo, ditado partes de seus escritos.</w:t>
      </w:r>
    </w:p>
    <w:p>
      <w:pPr/>
      <w:r>
        <w:rPr>
          <w:lang w:val="pt_PT" w:bidi="pt_PT"/>
        </w:rPr>
      </w:r>
      <w:r>
        <w:rPr>
          <w:lang w:val="pt_PT" w:bidi="pt_PT"/>
        </w:rPr>
        <w:t xml:space="preserve">Muitos estudiosos postulam várias fontes a partir das quais editores posteriores criaram os livros do Pentateuco, mas essa "Hipótese Documentária" continua sendo especulativa (veja </w:t>
      </w:r>
      <w:r>
        <w:rPr>
          <w:lang w:val="pt_PT" w:bidi="pt_PT"/>
        </w:rPr>
        <w:t>Introdução ao Livro de Gênesis,</w:t>
      </w:r>
      <w:r>
        <w:rPr>
          <w:lang w:val="pt_PT" w:bidi="pt_PT"/>
        </w:rPr>
        <w:t xml:space="preserve"> "Autoria"). Mesmo considerando modificações posteriores por escribas e editores, Números se apresenta substancialmente como obra de Moisés.</w:t>
      </w:r>
    </w:p>
    <w:p>
      <w:pPr>
        <w:pStyle w:val="Heading2"/>
      </w:pPr>
      <w:r>
        <w:rPr>
          <w:lang w:val="pt_PT" w:bidi="pt_PT"/>
        </w:rPr>
        <w:t>Data e geografia</w:t>
      </w:r>
    </w:p>
    <w:p>
      <w:pPr/>
      <w:r>
        <w:rPr>
          <w:lang w:val="pt_PT" w:bidi="pt_PT"/>
        </w:rPr>
      </w:r>
      <w:r>
        <w:rPr>
          <w:lang w:val="pt_PT" w:bidi="pt_PT"/>
        </w:rPr>
        <w:t xml:space="preserve">Os dados geográficos, culturais e linguísticos relacionados a Números se encaixam tanto em uma data antiga quanto em uma data mais tardia (1400 a.C. ou 1200 a.C.) para o Êxodo e a conquista (veja </w:t>
      </w:r>
      <w:r>
        <w:rPr>
          <w:lang w:val="pt_PT" w:bidi="pt_PT"/>
        </w:rPr>
        <w:t>Introdução ao Livro de Êxodo,</w:t>
      </w:r>
      <w:r>
        <w:rPr>
          <w:lang w:val="pt_PT" w:bidi="pt_PT"/>
        </w:rPr>
        <w:t xml:space="preserve"> “A Data do Êxodo”).</w:t>
      </w:r>
    </w:p>
    <w:p>
      <w:pPr/>
      <w:r>
        <w:rPr>
          <w:lang w:val="pt_PT" w:bidi="pt_PT"/>
        </w:rPr>
      </w:r>
      <w:r>
        <w:rPr>
          <w:lang w:val="pt_PT" w:bidi="pt_PT"/>
        </w:rP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2"/>
      </w:pPr>
      <w:r>
        <w:rPr>
          <w:lang w:val="pt_PT" w:bidi="pt_PT"/>
        </w:rPr>
        <w:t>Questões literárias</w:t>
      </w:r>
    </w:p>
    <w:p>
      <w:pPr/>
      <w:r>
        <w:rPr>
          <w:lang w:val="pt_PT" w:bidi="pt_PT"/>
        </w:rPr>
      </w:r>
      <w:r>
        <w:rPr>
          <w:lang w:val="pt_PT" w:bidi="pt_PT"/>
        </w:rPr>
        <w:t xml:space="preserve">Título do livro. O nome "Números" vem do interesse deste livro por estatísticas (veja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xml:space="preserve">). Este título é a tradução em inglês do título latino </w:t>
      </w:r>
      <w:r>
        <w:rPr>
          <w:i/>
          <w:lang w:val="pt_PT" w:bidi="pt_PT"/>
        </w:rPr>
        <w:t>Numeri</w:t>
      </w:r>
      <w:r>
        <w:rPr>
          <w:lang w:val="pt_PT" w:bidi="pt_PT"/>
        </w:rPr>
        <w:t xml:space="preserve"> e do grego </w:t>
      </w:r>
      <w:r>
        <w:rPr>
          <w:i/>
          <w:lang w:val="pt_PT" w:bidi="pt_PT"/>
        </w:rPr>
        <w:t>Arithmoi</w:t>
      </w:r>
      <w:r>
        <w:rPr>
          <w:lang w:val="pt_PT" w:bidi="pt_PT"/>
        </w:rP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hyperlink r:id="rId34">
        <w:r>
          <w:rPr>
            <w:lang w:val="pt_PT" w:bidi="pt_PT"/>
          </w:rPr>
          <w:rPr>
            <w:color w:val="0000EE"/>
            <w:u w:val="single"/>
          </w:rPr>
          <w:t>Num 1.1</w:t>
        </w:r>
      </w:hyperlink>
      <w:r>
        <w:rPr>
          <w:lang w:val="pt_PT" w:bidi="pt_PT"/>
        </w:rPr>
        <w:t xml:space="preserve"> no texto hebraico. Este título é certamente apropriado, pois reflete o cenário geográfico e o quadro cronológico do livro.</w:t>
      </w:r>
    </w:p>
    <w:p>
      <w:pPr/>
      <w:r>
        <w:rPr>
          <w:lang w:val="pt_PT" w:bidi="pt_PT"/>
        </w:rPr>
      </w:r>
      <w:r>
        <w:rPr>
          <w:lang w:val="pt_PT" w:bidi="pt_PT"/>
        </w:rPr>
        <w:t xml:space="preserve">Gêneros literários. O livro de Números inclui uma variedade de gêneros literários comuns, como narrativa (por exemplo, </w:t>
      </w:r>
      <w:hyperlink r:id="rId35">
        <w:r>
          <w:rPr>
            <w:lang w:val="pt_PT" w:bidi="pt_PT"/>
          </w:rPr>
          <w:rPr>
            <w:color w:val="0000EE"/>
            <w:u w:val="single"/>
          </w:rPr>
          <w:t>10.11–14.45</w:t>
        </w:r>
      </w:hyperlink>
      <w:r>
        <w:rPr>
          <w:lang w:val="pt_PT" w:bidi="pt_PT"/>
        </w:rPr>
        <w:t xml:space="preserve">), poesia (por exemplo, caps. </w:t>
      </w:r>
      <w:hyperlink r:id="rId36">
        <w:r>
          <w:rPr>
            <w:lang w:val="pt_PT" w:bidi="pt_PT"/>
          </w:rPr>
          <w:rPr>
            <w:color w:val="0000EE"/>
            <w:u w:val="single"/>
          </w:rPr>
          <w:t>23–24</w:t>
        </w:r>
      </w:hyperlink>
      <w:r>
        <w:rPr>
          <w:lang w:val="pt_PT" w:bidi="pt_PT"/>
        </w:rPr>
        <w:t xml:space="preserve">) e lei (por exemplo, caps. </w:t>
      </w:r>
      <w:hyperlink r:id="rId37">
        <w:r>
          <w:rPr>
            <w:lang w:val="pt_PT" w:bidi="pt_PT"/>
          </w:rPr>
          <w:rPr>
            <w:color w:val="0000EE"/>
            <w:u w:val="single"/>
          </w:rPr>
          <w:t>4–6</w:t>
        </w:r>
      </w:hyperlink>
      <w:r>
        <w:rPr>
          <w:lang w:val="pt_PT" w:bidi="pt_PT"/>
        </w:rPr>
        <w:t xml:space="preserve">). Também contém listas detalhadas de fatos e números, como registros de contagem (por exemplo, caps. </w:t>
      </w:r>
      <w:hyperlink r:id="rId16">
        <w:r>
          <w:rPr>
            <w:lang w:val="pt_PT" w:bidi="pt_PT"/>
          </w:rPr>
          <w:rPr>
            <w:color w:val="0000EE"/>
            <w:u w:val="single"/>
          </w:rPr>
          <w:t>1–4</w:t>
        </w:r>
      </w:hyperlink>
      <w:r>
        <w:rPr>
          <w:lang w:val="pt_PT" w:bidi="pt_PT"/>
        </w:rPr>
        <w:t xml:space="preserve">), ofertas (por exemplo, cap. </w:t>
      </w:r>
      <w:hyperlink r:id="rId38">
        <w:r>
          <w:rPr>
            <w:lang w:val="pt_PT" w:bidi="pt_PT"/>
          </w:rPr>
          <w:rPr>
            <w:color w:val="0000EE"/>
            <w:u w:val="single"/>
          </w:rPr>
          <w:t>7</w:t>
        </w:r>
      </w:hyperlink>
      <w:r>
        <w:rPr>
          <w:lang w:val="pt_PT" w:bidi="pt_PT"/>
        </w:rPr>
        <w:t xml:space="preserve">) e itinerários de viagem (por exemplo, cap. </w:t>
      </w:r>
      <w:hyperlink r:id="rId30">
        <w:r>
          <w:rPr>
            <w:lang w:val="pt_PT" w:bidi="pt_PT"/>
          </w:rPr>
          <w:rPr>
            <w:color w:val="0000EE"/>
            <w:u w:val="single"/>
          </w:rPr>
          <w:t>33</w:t>
        </w:r>
      </w:hyperlink>
      <w:r>
        <w:rPr>
          <w:lang w:val="pt_PT" w:bidi="pt_PT"/>
        </w:rPr>
        <w:t>).</w:t>
      </w:r>
    </w:p>
    <w:p>
      <w:pPr/>
      <w:r>
        <w:rPr>
          <w:lang w:val="pt_PT" w:bidi="pt_PT"/>
        </w:rPr>
      </w:r>
      <w:r>
        <w:rPr>
          <w:lang w:val="pt_PT" w:bidi="pt_PT"/>
        </w:rPr>
        <w:t xml:space="preserve">Fontes literárias. A Bíblia Hebraica identifica fontes antigas que Moisés (e talvez editores posteriores) consultaram, como </w:t>
      </w:r>
      <w:r>
        <w:rPr>
          <w:i/>
          <w:lang w:val="pt_PT" w:bidi="pt_PT"/>
        </w:rPr>
        <w:t xml:space="preserve">O Livro das Guerras do </w:t>
      </w:r>
      <w:r>
        <w:rPr>
          <w:lang w:val="pt_PT" w:bidi="pt_PT"/>
        </w:rPr>
        <w:t>Senhor (</w:t>
      </w:r>
      <w:hyperlink r:id="rId39">
        <w:r>
          <w:rPr>
            <w:lang w:val="pt_PT" w:bidi="pt_PT"/>
          </w:rPr>
          <w:rPr>
            <w:color w:val="0000EE"/>
            <w:u w:val="single"/>
          </w:rPr>
          <w:t>21.14–15</w:t>
        </w:r>
      </w:hyperlink>
      <w:r>
        <w:rPr>
          <w:lang w:val="pt_PT" w:bidi="pt_PT"/>
        </w:rPr>
        <w:t>), a “Canção do Poço” (</w:t>
      </w:r>
      <w:hyperlink r:id="rId40">
        <w:r>
          <w:rPr>
            <w:lang w:val="pt_PT" w:bidi="pt_PT"/>
          </w:rPr>
          <w:rPr>
            <w:color w:val="0000EE"/>
            <w:u w:val="single"/>
          </w:rPr>
          <w:t>21.17–18</w:t>
        </w:r>
      </w:hyperlink>
      <w:r>
        <w:rPr>
          <w:lang w:val="pt_PT" w:bidi="pt_PT"/>
        </w:rPr>
        <w:t>), e a “Canção de Hesbom” (</w:t>
      </w:r>
      <w:hyperlink r:id="rId41">
        <w:r>
          <w:rPr>
            <w:lang w:val="pt_PT" w:bidi="pt_PT"/>
          </w:rPr>
          <w:rPr>
            <w:color w:val="0000EE"/>
            <w:u w:val="single"/>
          </w:rPr>
          <w:t>21.27–30</w:t>
        </w:r>
      </w:hyperlink>
      <w:r>
        <w:rPr>
          <w:lang w:val="pt_PT" w:bidi="pt_PT"/>
        </w:rPr>
        <w:t xml:space="preserve">). Os capítulos </w:t>
      </w:r>
      <w:hyperlink r:id="rId36">
        <w:r>
          <w:rPr>
            <w:lang w:val="pt_PT" w:bidi="pt_PT"/>
          </w:rPr>
          <w:rPr>
            <w:color w:val="0000EE"/>
            <w:u w:val="single"/>
          </w:rPr>
          <w:t>23–24</w:t>
        </w:r>
      </w:hyperlink>
      <w:r>
        <w:rPr>
          <w:lang w:val="pt_PT" w:bidi="pt_PT"/>
        </w:rPr>
        <w:t xml:space="preserve"> contêm muitas linhas poéticas do profeta não-israelita Balaão; </w:t>
      </w:r>
      <w:hyperlink r:id="rId42">
        <w:r>
          <w:rPr>
            <w:lang w:val="pt_PT" w:bidi="pt_PT"/>
          </w:rPr>
          <w:rPr>
            <w:color w:val="0000EE"/>
            <w:u w:val="single"/>
          </w:rPr>
          <w:t>31.32–47</w:t>
        </w:r>
      </w:hyperlink>
      <w:r>
        <w:rPr>
          <w:lang w:val="pt_PT" w:bidi="pt_PT"/>
        </w:rPr>
        <w:t xml:space="preserve"> parece ser baseado em um registro real de despojos de guerra; e o capítulo </w:t>
      </w:r>
      <w:hyperlink r:id="rId30">
        <w:r>
          <w:rPr>
            <w:lang w:val="pt_PT" w:bidi="pt_PT"/>
          </w:rPr>
          <w:rPr>
            <w:color w:val="0000EE"/>
            <w:u w:val="single"/>
          </w:rPr>
          <w:t>33</w:t>
        </w:r>
      </w:hyperlink>
      <w:r>
        <w:rPr>
          <w:lang w:val="pt_PT" w:bidi="pt_PT"/>
        </w:rPr>
        <w:t xml:space="preserve"> parece derivar de um diário escrito.</w:t>
      </w:r>
    </w:p>
    <w:p>
      <w:pPr/>
      <w:r>
        <w:rPr>
          <w:lang w:val="pt_PT" w:bidi="pt_PT"/>
        </w:rPr>
      </w:r>
      <w:r>
        <w:rPr>
          <w:lang w:val="pt_PT" w:bidi="pt_PT"/>
        </w:rPr>
        <w:t xml:space="preserve">Texto. O texto hebraico de Números está muito bem preservado, exceto por algumas seções de poesia nos capítulos </w:t>
      </w:r>
      <w:hyperlink r:id="rId43">
        <w:r>
          <w:rPr>
            <w:lang w:val="pt_PT" w:bidi="pt_PT"/>
          </w:rPr>
          <w:rPr>
            <w:color w:val="0000EE"/>
            <w:u w:val="single"/>
          </w:rPr>
          <w:t>21–24</w:t>
        </w:r>
      </w:hyperlink>
      <w:r>
        <w:rPr>
          <w:lang w:val="pt_PT" w:bidi="pt_PT"/>
        </w:rP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2"/>
      </w:pPr>
      <w:r>
        <w:rPr>
          <w:lang w:val="pt_PT" w:bidi="pt_PT"/>
        </w:rPr>
        <w:t>Significado e mensagem</w:t>
      </w:r>
    </w:p>
    <w:p>
      <w:pPr/>
      <w:r>
        <w:rPr>
          <w:lang w:val="pt_PT" w:bidi="pt_PT"/>
        </w:rPr>
      </w:r>
      <w:r>
        <w:rPr>
          <w:lang w:val="pt_PT" w:bidi="pt_PT"/>
        </w:rP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pPr/>
      <w:r>
        <w:rPr>
          <w:lang w:val="pt_PT" w:bidi="pt_PT"/>
        </w:rPr>
      </w:r>
      <w:r>
        <w:rPr>
          <w:lang w:val="pt_PT" w:bidi="pt_PT"/>
        </w:rP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pPr/>
      <w:r>
        <w:rPr>
          <w:lang w:val="pt_PT" w:bidi="pt_PT"/>
        </w:rPr>
      </w:r>
      <w:r>
        <w:rPr>
          <w:lang w:val="pt_PT" w:bidi="pt_PT"/>
        </w:rP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Pr>
          <w:lang w:val="pt_PT" w:bidi="pt_PT"/>
        </w:rPr>
      </w:r>
      <w:r>
        <w:rPr>
          <w:lang w:val="pt_PT" w:bidi="pt_PT"/>
        </w:rPr>
        <w:t xml:space="preserve">Em </w:t>
      </w:r>
      <w:hyperlink r:id="rId44">
        <w:r>
          <w:rPr>
            <w:lang w:val="pt_PT" w:bidi="pt_PT"/>
          </w:rPr>
          <w:rPr>
            <w:color w:val="0000EE"/>
            <w:u w:val="single"/>
          </w:rPr>
          <w:t>1 Coríntios 10.1–11</w:t>
        </w:r>
      </w:hyperlink>
      <w:r>
        <w:rPr>
          <w:lang w:val="pt_PT" w:bidi="pt_PT"/>
        </w:rPr>
        <w:t>, o Apóstolo Paulo adverte seus leitores a evitarem a idolatria, a imoralidade e a murmuração para que não pereçam como os israelitas no deserto. Deus não se agrada de tal comportamento, e os seguidores de Cristo não devem colocar Deus à prova (</w:t>
      </w:r>
      <w:hyperlink r:id="rId45">
        <w:r>
          <w:rPr>
            <w:lang w:val="pt_PT" w:bidi="pt_PT"/>
          </w:rPr>
          <w:rPr>
            <w:color w:val="0000EE"/>
            <w:u w:val="single"/>
          </w:rPr>
          <w:t>1Co 10.9</w:t>
        </w:r>
      </w:hyperlink>
      <w:r>
        <w:rPr>
          <w:lang w:val="pt_PT" w:bidi="pt_PT"/>
        </w:rPr>
        <w:t>).</w:t>
      </w:r>
    </w:p>
    <w:p>
      <w:pPr>
        <w:pStyle w:val="ListBullet"/>
        <w:spacing w:line="240" w:lineRule="auto"/>
        <w:ind w:left="720"/>
      </w:pPr>
      <w:r>
        <w:rPr>
          <w:lang w:val="pt_PT" w:bidi="pt_PT"/>
        </w:rPr>
      </w:r>
      <w:r>
        <w:rPr>
          <w:lang w:val="pt_PT" w:bidi="pt_PT"/>
        </w:rPr>
        <w:t>O autor de Hebreus identifica instâncias repetidas do espírito obstinado e desobediente de Israel e diz que Deus respondeu a essa rebeldia com ira rápida e certa (</w:t>
      </w:r>
      <w:hyperlink r:id="rId46">
        <w:r>
          <w:rPr>
            <w:lang w:val="pt_PT" w:bidi="pt_PT"/>
          </w:rPr>
          <w:rPr>
            <w:color w:val="0000EE"/>
            <w:u w:val="single"/>
          </w:rPr>
          <w:t>Hebreus 3.7–4.11</w:t>
        </w:r>
      </w:hyperlink>
      <w:r>
        <w:rPr>
          <w:lang w:val="pt_PT" w:bidi="pt_PT"/>
        </w:rPr>
        <w:t xml:space="preserve">). Esses versículos, que se baseiam fortemente na linguagem do </w:t>
      </w:r>
      <w:hyperlink r:id="rId47">
        <w:r>
          <w:rPr>
            <w:lang w:val="pt_PT" w:bidi="pt_PT"/>
          </w:rPr>
          <w:rPr>
            <w:color w:val="0000EE"/>
            <w:u w:val="single"/>
          </w:rPr>
          <w:t>Salmo 95</w:t>
        </w:r>
      </w:hyperlink>
      <w:r>
        <w:rPr>
          <w:lang w:val="pt_PT" w:bidi="pt_PT"/>
        </w:rPr>
        <w:t>, estão saturados de termos que refletem o julgamento de Deus sobre o pecado de Israel.</w:t>
      </w:r>
    </w:p>
    <w:p>
      <w:pPr>
        <w:pStyle w:val="ListBullet"/>
        <w:spacing w:line="240" w:lineRule="auto"/>
        <w:ind w:left="720"/>
      </w:pPr>
      <w:r>
        <w:rPr>
          <w:lang w:val="pt_PT" w:bidi="pt_PT"/>
        </w:rPr>
      </w:r>
      <w:hyperlink r:id="rId48">
        <w:r>
          <w:rPr>
            <w:lang w:val="pt_PT" w:bidi="pt_PT"/>
          </w:rPr>
          <w:rPr>
            <w:color w:val="0000EE"/>
            <w:u w:val="single"/>
          </w:rPr>
          <w:t>Judas 1.5</w:t>
        </w:r>
      </w:hyperlink>
      <w:r>
        <w:rPr>
          <w:lang w:val="pt_PT" w:bidi="pt_PT"/>
        </w:rPr>
        <w:t xml:space="preserve"> ensina os cristãos sobre a fidelidade ao resumir Números.</w:t>
      </w:r>
    </w:p>
    <w:p>
      <w:pPr/>
      <w:r>
        <w:rPr>
          <w:lang w:val="pt_PT" w:bidi="pt_PT"/>
        </w:rPr>
      </w:r>
      <w:r>
        <w:rPr>
          <w:lang w:val="pt_PT" w:bidi="pt_PT"/>
        </w:rPr>
        <w:t>O mesmo Deus que libertou Seu povo do Egito destruiu aquela geração rebelde porque eles não acreditaram nem obedeceram. Assim como o antigo Israel, os cristãos devem aprender com os erros do passado e viver com fé e obediência ao seu Senhor.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