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hyperlink r:id="rId13">
        <w:r>
          <w:rPr>
            <w:lang w:val="zh_TW" w:bidi="zh_TW"/>
          </w:rPr>
          <w:rPr>
            <w:color w:val="0000EE"/>
            <w:u w:val="single"/>
          </w:rPr>
          <w:t>4:12</w:t>
        </w:r>
      </w:hyperlink>
      <w:r>
        <w:rPr>
          <w:lang w:val="zh_TW" w:bidi="zh_TW"/>
        </w:rPr>
        <w:t>）他又責備那些欺壓窮人的富人，惟願「公平如大水滾滾」（</w:t>
      </w:r>
      <w:hyperlink r:id="rId14">
        <w:r>
          <w:rPr>
            <w:lang w:val="zh_TW" w:bidi="zh_TW"/>
          </w:rPr>
          <w:rPr>
            <w:color w:val="0000EE"/>
            <w:u w:val="single"/>
          </w:rPr>
          <w:t>5:24</w:t>
        </w:r>
      </w:hyperlink>
      <w:r>
        <w:rPr>
          <w:lang w:val="zh_TW" w:bidi="zh_TW"/>
        </w:rPr>
        <w:t>）。是什麼促使這位來自提哥亞的牧人來到伯特利，發出如此強烈的審判信息呢？阿摩司並不是以先知為職業的人（</w:t>
      </w:r>
      <w:hyperlink r:id="rId15">
        <w:r>
          <w:rPr>
            <w:lang w:val="zh_TW" w:bidi="zh_TW"/>
          </w:rPr>
          <w:rPr>
            <w:color w:val="0000EE"/>
            <w:u w:val="single"/>
          </w:rPr>
          <w:t>7:14</w:t>
        </w:r>
      </w:hyperlink>
      <w:r>
        <w:rPr>
          <w:lang w:val="zh_TW" w:bidi="zh_TW"/>
        </w:rPr>
        <w:t>）；而是因為神如獅子「吼叫」的聲音（</w:t>
      </w:r>
      <w:hyperlink r:id="rId16">
        <w:r>
          <w:rPr>
            <w:lang w:val="zh_TW" w:bidi="zh_TW"/>
          </w:rPr>
          <w:rPr>
            <w:color w:val="0000EE"/>
            <w:u w:val="single"/>
          </w:rPr>
          <w:t>1:2，</w:t>
        </w:r>
      </w:hyperlink>
      <w:hyperlink r:id="rId17">
        <w:r>
          <w:rPr>
            <w:lang w:val="zh_TW" w:bidi="zh_TW"/>
          </w:rPr>
          <w:rPr>
            <w:color w:val="0000EE"/>
            <w:u w:val="single"/>
          </w:rPr>
          <w:t>3:8</w:t>
        </w:r>
      </w:hyperlink>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hyperlink r:id="rId18">
        <w:r>
          <w:rPr>
            <w:lang w:val="zh_TW" w:bidi="zh_TW"/>
          </w:rPr>
          <w:rPr>
            <w:color w:val="0000EE"/>
            <w:u w:val="single"/>
          </w:rPr>
          <w:t>出32章</w:t>
        </w:r>
      </w:hyperlink>
      <w:r>
        <w:rPr>
          <w:lang w:val="zh_TW" w:bidi="zh_TW"/>
        </w:rPr>
        <w:t>），耶羅波安用金牛犢的形象來代表耶和華（</w:t>
      </w:r>
      <w:hyperlink r:id="rId19">
        <w:r>
          <w:rPr>
            <w:lang w:val="zh_TW" w:bidi="zh_TW"/>
          </w:rPr>
          <w:rPr>
            <w:color w:val="0000EE"/>
            <w:u w:val="single"/>
          </w:rPr>
          <w:t>王上12:25–33</w:t>
        </w:r>
      </w:hyperlink>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hyperlink r:id="rId20">
        <w:r>
          <w:rPr>
            <w:lang w:val="zh_TW" w:bidi="zh_TW"/>
          </w:rPr>
          <w:rPr>
            <w:color w:val="0000EE"/>
            <w:u w:val="single"/>
          </w:rPr>
          <w:t>王上12:29</w:t>
        </w:r>
      </w:hyperlink>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1">
        <w:r>
          <w:rPr>
            <w:lang w:val="zh_TW" w:bidi="zh_TW"/>
          </w:rPr>
          <w:rPr>
            <w:color w:val="0000EE"/>
            <w:u w:val="single"/>
          </w:rPr>
          <w:t>王上18:21</w:t>
        </w:r>
      </w:hyperlink>
      <w:r>
        <w:rPr>
          <w:lang w:val="zh_TW" w:bidi="zh_TW"/>
        </w:rPr>
        <w:t>、</w:t>
      </w:r>
      <w:hyperlink r:id="rId22">
        <w:r>
          <w:rPr>
            <w:lang w:val="zh_TW" w:bidi="zh_TW"/>
          </w:rPr>
          <w:rPr>
            <w:color w:val="0000EE"/>
            <w:u w:val="single"/>
          </w:rPr>
          <w:t>24</w:t>
        </w:r>
      </w:hyperlink>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3">
        <w:r>
          <w:rPr>
            <w:lang w:val="zh_TW" w:bidi="zh_TW"/>
          </w:rPr>
          <w:rPr>
            <w:color w:val="0000EE"/>
            <w:u w:val="single"/>
          </w:rPr>
          <w:t>王下14:23–29，</w:t>
        </w:r>
      </w:hyperlink>
      <w:hyperlink r:id="rId24">
        <w:r>
          <w:rPr>
            <w:lang w:val="zh_TW" w:bidi="zh_TW"/>
          </w:rPr>
          <w:rPr>
            <w:color w:val="0000EE"/>
            <w:u w:val="single"/>
          </w:rPr>
          <w:t>15:1–7</w:t>
        </w:r>
      </w:hyperlink>
      <w:r>
        <w:rPr>
          <w:lang w:val="zh_TW" w:bidi="zh_TW"/>
        </w:rPr>
        <w:t>；</w:t>
      </w:r>
      <w:hyperlink r:id="rId25">
        <w:r>
          <w:rPr>
            <w:lang w:val="zh_TW" w:bidi="zh_TW"/>
          </w:rPr>
          <w:rPr>
            <w:color w:val="0000EE"/>
            <w:u w:val="single"/>
          </w:rPr>
          <w:t>代下26:1–23</w:t>
        </w:r>
      </w:hyperlink>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hyperlink r:id="rId26">
        <w:r>
          <w:rPr>
            <w:lang w:val="zh_TW" w:bidi="zh_TW"/>
          </w:rPr>
          <w:rPr>
            <w:color w:val="0000EE"/>
            <w:u w:val="single"/>
          </w:rPr>
          <w:t>摩1:1–2</w:t>
        </w:r>
      </w:hyperlink>
      <w:r>
        <w:rPr>
          <w:lang w:val="zh_TW" w:bidi="zh_TW"/>
        </w:rPr>
        <w:t>），第一部分（</w:t>
      </w:r>
      <w:hyperlink r:id="rId27">
        <w:r>
          <w:rPr>
            <w:lang w:val="zh_TW" w:bidi="zh_TW"/>
          </w:rPr>
          <w:rPr>
            <w:color w:val="0000EE"/>
            <w:u w:val="single"/>
          </w:rPr>
          <w:t>1:3–2:16</w:t>
        </w:r>
      </w:hyperlink>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hyperlink r:id="rId28">
        <w:r>
          <w:rPr>
            <w:lang w:val="zh_TW" w:bidi="zh_TW"/>
          </w:rPr>
          <w:rPr>
            <w:color w:val="0000EE"/>
            <w:u w:val="single"/>
          </w:rPr>
          <w:t>3:1–5:17</w:t>
        </w:r>
      </w:hyperlink>
      <w:r>
        <w:rPr>
          <w:lang w:val="zh_TW" w:bidi="zh_TW"/>
        </w:rPr>
        <w:t>）由三篇先知信息構成。第一篇（</w:t>
      </w:r>
      <w:hyperlink r:id="rId29">
        <w:r>
          <w:rPr>
            <w:lang w:val="zh_TW" w:bidi="zh_TW"/>
          </w:rPr>
          <w:rPr>
            <w:color w:val="0000EE"/>
            <w:u w:val="single"/>
          </w:rPr>
          <w:t>3:1–2</w:t>
        </w:r>
      </w:hyperlink>
      <w:r>
        <w:rPr>
          <w:lang w:val="zh_TW" w:bidi="zh_TW"/>
        </w:rPr>
        <w:t>）指責以色列濫用自己作為神選民的特殊地位。第二篇（</w:t>
      </w:r>
      <w:hyperlink r:id="rId30">
        <w:r>
          <w:rPr>
            <w:lang w:val="zh_TW" w:bidi="zh_TW"/>
          </w:rPr>
          <w:rPr>
            <w:color w:val="0000EE"/>
            <w:u w:val="single"/>
          </w:rPr>
          <w:t>4:1–3</w:t>
        </w:r>
      </w:hyperlink>
      <w:r>
        <w:rPr>
          <w:lang w:val="zh_TW" w:bidi="zh_TW"/>
        </w:rPr>
        <w:t>）批評那些沉迷宴樂、不顧貧苦之人的群體。第三篇（</w:t>
      </w:r>
      <w:hyperlink r:id="rId31">
        <w:r>
          <w:rPr>
            <w:lang w:val="zh_TW" w:bidi="zh_TW"/>
          </w:rPr>
          <w:rPr>
            <w:color w:val="0000EE"/>
            <w:u w:val="single"/>
          </w:rPr>
          <w:t>5:1–2</w:t>
        </w:r>
      </w:hyperlink>
      <w:r>
        <w:rPr>
          <w:lang w:val="zh_TW" w:bidi="zh_TW"/>
        </w:rPr>
        <w:t>）則是一首哀歌，象徵這個國家即將滅亡。在這幾篇信息之間，阿摩司運用了修辭性問句（</w:t>
      </w:r>
      <w:hyperlink r:id="rId32">
        <w:r>
          <w:rPr>
            <w:lang w:val="zh_TW" w:bidi="zh_TW"/>
          </w:rPr>
          <w:rPr>
            <w:color w:val="0000EE"/>
            <w:u w:val="single"/>
          </w:rPr>
          <w:t>3:3–6</w:t>
        </w:r>
      </w:hyperlink>
      <w:r>
        <w:rPr>
          <w:lang w:val="zh_TW" w:bidi="zh_TW"/>
        </w:rPr>
        <w:t>）、牧羊人生活的比喻（</w:t>
      </w:r>
      <w:hyperlink r:id="rId17">
        <w:r>
          <w:rPr>
            <w:lang w:val="zh_TW" w:bidi="zh_TW"/>
          </w:rPr>
          <w:rPr>
            <w:color w:val="0000EE"/>
            <w:u w:val="single"/>
          </w:rPr>
          <w:t>3:8、</w:t>
        </w:r>
      </w:hyperlink>
      <w:hyperlink r:id="rId33">
        <w:r>
          <w:rPr>
            <w:lang w:val="zh_TW" w:bidi="zh_TW"/>
          </w:rPr>
          <w:rPr>
            <w:color w:val="0000EE"/>
            <w:u w:val="single"/>
          </w:rPr>
          <w:t>12</w:t>
        </w:r>
      </w:hyperlink>
      <w:r>
        <w:rPr>
          <w:lang w:val="zh_TW" w:bidi="zh_TW"/>
        </w:rPr>
        <w:t>）、諷刺（</w:t>
      </w:r>
      <w:hyperlink r:id="rId34">
        <w:r>
          <w:rPr>
            <w:lang w:val="zh_TW" w:bidi="zh_TW"/>
          </w:rPr>
          <w:rPr>
            <w:color w:val="0000EE"/>
            <w:u w:val="single"/>
          </w:rPr>
          <w:t>4:4–5</w:t>
        </w:r>
      </w:hyperlink>
      <w:r>
        <w:rPr>
          <w:lang w:val="zh_TW" w:bidi="zh_TW"/>
        </w:rPr>
        <w:t>）、歷史回顧（</w:t>
      </w:r>
      <w:hyperlink r:id="rId35">
        <w:r>
          <w:rPr>
            <w:lang w:val="zh_TW" w:bidi="zh_TW"/>
          </w:rPr>
          <w:rPr>
            <w:color w:val="0000EE"/>
            <w:u w:val="single"/>
          </w:rPr>
          <w:t>4:6–11</w:t>
        </w:r>
      </w:hyperlink>
      <w:r>
        <w:rPr>
          <w:lang w:val="zh_TW" w:bidi="zh_TW"/>
        </w:rPr>
        <w:t>）、詩歌片段（</w:t>
      </w:r>
      <w:hyperlink r:id="rId36">
        <w:r>
          <w:rPr>
            <w:lang w:val="zh_TW" w:bidi="zh_TW"/>
          </w:rPr>
          <w:rPr>
            <w:color w:val="0000EE"/>
            <w:u w:val="single"/>
          </w:rPr>
          <w:t>4:13</w:t>
        </w:r>
      </w:hyperlink>
      <w:r>
        <w:rPr>
          <w:lang w:val="zh_TW" w:bidi="zh_TW"/>
        </w:rPr>
        <w:t>，</w:t>
      </w:r>
      <w:hyperlink r:id="rId37">
        <w:r>
          <w:rPr>
            <w:lang w:val="zh_TW" w:bidi="zh_TW"/>
          </w:rPr>
          <w:rPr>
            <w:color w:val="0000EE"/>
            <w:u w:val="single"/>
          </w:rPr>
          <w:t>5:8–9</w:t>
        </w:r>
      </w:hyperlink>
      <w:r>
        <w:rPr>
          <w:lang w:val="zh_TW" w:bidi="zh_TW"/>
        </w:rPr>
        <w:t>）、雙關語（</w:t>
      </w:r>
      <w:hyperlink r:id="rId38">
        <w:r>
          <w:rPr>
            <w:lang w:val="zh_TW" w:bidi="zh_TW"/>
          </w:rPr>
          <w:rPr>
            <w:color w:val="0000EE"/>
            <w:u w:val="single"/>
          </w:rPr>
          <w:t>5:5</w:t>
        </w:r>
      </w:hyperlink>
      <w:r>
        <w:rPr>
          <w:lang w:val="zh_TW" w:bidi="zh_TW"/>
        </w:rPr>
        <w:t>）、呼籲悔改，以及對不悔改者的審判預言。</w:t>
      </w:r>
    </w:p>
    <w:p>
      <w:pPr/>
      <w:r>
        <w:rPr>
          <w:lang w:val="zh_TW" w:bidi="zh_TW"/>
        </w:rPr>
      </w:r>
      <w:r>
        <w:rPr>
          <w:lang w:val="zh_TW" w:bidi="zh_TW"/>
        </w:rPr>
        <w:t>阿摩司書的第三部分（</w:t>
      </w:r>
      <w:hyperlink r:id="rId39">
        <w:r>
          <w:rPr>
            <w:lang w:val="zh_TW" w:bidi="zh_TW"/>
          </w:rPr>
          <w:rPr>
            <w:color w:val="0000EE"/>
            <w:u w:val="single"/>
          </w:rPr>
          <w:t>5:18–6:14</w:t>
        </w:r>
      </w:hyperlink>
      <w:r>
        <w:rPr>
          <w:lang w:val="zh_TW" w:bidi="zh_TW"/>
        </w:rPr>
        <w:t>）包含兩篇有關災禍的預言。第一篇警告那些宣稱「耶和華的日子」即將來臨，並期望神使以色列再次成為強國的人 （</w:t>
      </w:r>
      <w:hyperlink r:id="rId40">
        <w:r>
          <w:rPr>
            <w:lang w:val="zh_TW" w:bidi="zh_TW"/>
          </w:rPr>
          <w:rPr>
            <w:color w:val="0000EE"/>
            <w:u w:val="single"/>
          </w:rPr>
          <w:t>5:18–27</w:t>
        </w:r>
      </w:hyperlink>
      <w:r>
        <w:rPr>
          <w:lang w:val="zh_TW" w:bidi="zh_TW"/>
        </w:rPr>
        <w:t>）；第二篇則責備那些依靠財富、房屋或防禦工作來尋求安全的人（</w:t>
      </w:r>
      <w:hyperlink r:id="rId41">
        <w:r>
          <w:rPr>
            <w:lang w:val="zh_TW" w:bidi="zh_TW"/>
          </w:rPr>
          <w:rPr>
            <w:color w:val="0000EE"/>
            <w:u w:val="single"/>
          </w:rPr>
          <w:t>6:1–14</w:t>
        </w:r>
      </w:hyperlink>
      <w:r>
        <w:rPr>
          <w:lang w:val="zh_TW" w:bidi="zh_TW"/>
        </w:rPr>
        <w:t>）。</w:t>
      </w:r>
    </w:p>
    <w:p>
      <w:pPr/>
      <w:r>
        <w:rPr>
          <w:lang w:val="zh_TW" w:bidi="zh_TW"/>
        </w:rPr>
      </w:r>
      <w:r>
        <w:rPr>
          <w:lang w:val="zh_TW" w:bidi="zh_TW"/>
        </w:rPr>
        <w:t>第四部分（</w:t>
      </w:r>
      <w:hyperlink r:id="rId42">
        <w:r>
          <w:rPr>
            <w:lang w:val="zh_TW" w:bidi="zh_TW"/>
          </w:rPr>
          <w:rPr>
            <w:color w:val="0000EE"/>
            <w:u w:val="single"/>
          </w:rPr>
          <w:t>7:1–9:10</w:t>
        </w:r>
      </w:hyperlink>
      <w:r>
        <w:rPr>
          <w:lang w:val="zh_TW" w:bidi="zh_TW"/>
        </w:rPr>
        <w:t>）記載了五個基於異象的預言。阿摩司首先描述兩個神將撤回的審判異象，以贏得聽眾的認同（</w:t>
      </w:r>
      <w:hyperlink r:id="rId43">
        <w:r>
          <w:rPr>
            <w:lang w:val="zh_TW" w:bidi="zh_TW"/>
          </w:rPr>
          <w:rPr>
            <w:color w:val="0000EE"/>
            <w:u w:val="single"/>
          </w:rPr>
          <w:t>7:1–6</w:t>
        </w:r>
      </w:hyperlink>
      <w:r>
        <w:rPr>
          <w:lang w:val="zh_TW" w:bidi="zh_TW"/>
        </w:rPr>
        <w:t>）。接著，他用兩個不可避免的審判異象來強調信息的嚴重性（</w:t>
      </w:r>
      <w:hyperlink r:id="rId44">
        <w:r>
          <w:rPr>
            <w:lang w:val="zh_TW" w:bidi="zh_TW"/>
          </w:rPr>
          <w:rPr>
            <w:color w:val="0000EE"/>
            <w:u w:val="single"/>
          </w:rPr>
          <w:t>7:7–9，</w:t>
        </w:r>
      </w:hyperlink>
      <w:hyperlink r:id="rId45">
        <w:r>
          <w:rPr>
            <w:lang w:val="zh_TW" w:bidi="zh_TW"/>
          </w:rPr>
          <w:rPr>
            <w:color w:val="0000EE"/>
            <w:u w:val="single"/>
          </w:rPr>
          <w:t>8:1–3</w:t>
        </w:r>
      </w:hyperlink>
      <w:r>
        <w:rPr>
          <w:lang w:val="zh_TW" w:bidi="zh_TW"/>
        </w:rPr>
        <w:t>）。這些異象之間夾雜了一段短篇的傳記敘述（</w:t>
      </w:r>
      <w:hyperlink r:id="rId46">
        <w:r>
          <w:rPr>
            <w:lang w:val="zh_TW" w:bidi="zh_TW"/>
          </w:rPr>
          <w:rPr>
            <w:color w:val="0000EE"/>
            <w:u w:val="single"/>
          </w:rPr>
          <w:t>7:10–17</w:t>
        </w:r>
      </w:hyperlink>
      <w:r>
        <w:rPr>
          <w:lang w:val="zh_TW" w:bidi="zh_TW"/>
        </w:rPr>
        <w:t>）。最後的異象則預告以色列及其宗教體系將被徹底毀滅（</w:t>
      </w:r>
      <w:hyperlink r:id="rId47">
        <w:r>
          <w:rPr>
            <w:lang w:val="zh_TW" w:bidi="zh_TW"/>
          </w:rPr>
          <w:rPr>
            <w:color w:val="0000EE"/>
            <w:u w:val="single"/>
          </w:rPr>
          <w:t>9:1–10</w:t>
        </w:r>
      </w:hyperlink>
      <w:r>
        <w:rPr>
          <w:lang w:val="zh_TW" w:bidi="zh_TW"/>
        </w:rPr>
        <w:t>）。</w:t>
      </w:r>
    </w:p>
    <w:p>
      <w:pPr/>
      <w:r>
        <w:rPr>
          <w:lang w:val="zh_TW" w:bidi="zh_TW"/>
        </w:rPr>
      </w:r>
      <w:r>
        <w:rPr>
          <w:lang w:val="zh_TW" w:bidi="zh_TW"/>
        </w:rPr>
        <w:t>最後，在</w:t>
      </w:r>
      <w:hyperlink r:id="rId48">
        <w:r>
          <w:rPr>
            <w:lang w:val="zh_TW" w:bidi="zh_TW"/>
          </w:rPr>
          <w:rPr>
            <w:color w:val="0000EE"/>
            <w:u w:val="single"/>
          </w:rPr>
          <w:t>九章11至15節</w:t>
        </w:r>
      </w:hyperlink>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hyperlink r:id="rId49">
        <w:r>
          <w:rPr>
            <w:lang w:val="zh_TW" w:bidi="zh_TW"/>
          </w:rPr>
          <w:rPr>
            <w:color w:val="0000EE"/>
            <w:u w:val="single"/>
          </w:rPr>
          <w:t>7:13</w:t>
        </w:r>
      </w:hyperlink>
      <w:r>
        <w:rPr>
          <w:lang w:val="zh_TW" w:bidi="zh_TW"/>
        </w:rPr>
        <w:t>），發生在耶羅波安二世於公元前753年去世前不久（</w:t>
      </w:r>
      <w:hyperlink r:id="rId50">
        <w:r>
          <w:rPr>
            <w:lang w:val="zh_TW" w:bidi="zh_TW"/>
          </w:rPr>
          <w:rPr>
            <w:color w:val="0000EE"/>
            <w:u w:val="single"/>
          </w:rPr>
          <w:t>1:1</w:t>
        </w:r>
      </w:hyperlink>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hyperlink r:id="rId51">
        <w:r>
          <w:rPr>
            <w:lang w:val="zh_TW" w:bidi="zh_TW"/>
          </w:rPr>
          <w:rPr>
            <w:color w:val="0000EE"/>
            <w:u w:val="single"/>
          </w:rPr>
          <w:t>5:18–6:8</w:t>
        </w:r>
      </w:hyperlink>
      <w:r>
        <w:rPr>
          <w:lang w:val="zh_TW" w:bidi="zh_TW"/>
        </w:rPr>
        <w:t>）。他明顯認為，以色列與猶大分裂，以及遠離耶路撒冷聖殿，是導致北國道德與屬靈衰敗的主要原因。然而，他也察覺到南國猶大同樣正在偏離對耶和華純正的敬拜（</w:t>
      </w:r>
      <w:hyperlink r:id="rId52">
        <w:r>
          <w:rPr>
            <w:lang w:val="zh_TW" w:bidi="zh_TW"/>
          </w:rPr>
          <w:rPr>
            <w:color w:val="0000EE"/>
            <w:u w:val="single"/>
          </w:rPr>
          <w:t>2:4–5</w:t>
        </w:r>
      </w:hyperlink>
      <w:r>
        <w:rPr>
          <w:lang w:val="zh_TW" w:bidi="zh_TW"/>
        </w:rPr>
        <w:t>）。因此，這卷本書譴責那些「在錫安和撒馬利亞山安逸無慮的」，以及控訴在撒馬利亞自滿自得的人（見</w:t>
      </w:r>
      <w:hyperlink r:id="rId53">
        <w:r>
          <w:rPr>
            <w:lang w:val="zh_TW" w:bidi="zh_TW"/>
          </w:rPr>
          <w:rPr>
            <w:color w:val="0000EE"/>
            <w:u w:val="single"/>
          </w:rPr>
          <w:t>6:1</w:t>
        </w:r>
      </w:hyperlink>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hyperlink r:id="rId54">
        <w:r>
          <w:rPr>
            <w:lang w:val="zh_TW" w:bidi="zh_TW"/>
          </w:rPr>
          <w:rPr>
            <w:color w:val="0000EE"/>
            <w:u w:val="single"/>
          </w:rPr>
          <w:t>詩23:1</w:t>
        </w:r>
      </w:hyperlink>
      <w:r>
        <w:rPr>
          <w:lang w:val="zh_TW" w:bidi="zh_TW"/>
        </w:rPr>
        <w:t>）來指牧人，而非noqed。在阿摩司書之外，noqed作為名詞，唯一一次出現，是用來形容摩押王米沙，他定期向以色列進貢大量羊毛與羊群（</w:t>
      </w:r>
      <w:hyperlink r:id="rId55">
        <w:r>
          <w:rPr>
            <w:lang w:val="zh_TW" w:bidi="zh_TW"/>
          </w:rPr>
          <w:rPr>
            <w:color w:val="0000EE"/>
            <w:u w:val="single"/>
          </w:rPr>
          <w:t>王下3:4</w:t>
        </w:r>
      </w:hyperlink>
      <w:r>
        <w:rPr>
          <w:lang w:val="zh_TW" w:bidi="zh_TW"/>
        </w:rPr>
        <w:t>）。因此，noqed可能是指擁有羊群的牧主，而非為他人工作的牧人。第二個線索來自</w:t>
      </w:r>
      <w:hyperlink r:id="rId15">
        <w:r>
          <w:rPr>
            <w:lang w:val="zh_TW" w:bidi="zh_TW"/>
          </w:rPr>
          <w:rPr>
            <w:color w:val="0000EE"/>
            <w:u w:val="single"/>
          </w:rPr>
          <w:t>七章14節</w:t>
        </w:r>
      </w:hyperlink>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hyperlink r:id="rId15">
        <w:r>
          <w:rPr>
            <w:lang w:val="zh_TW" w:bidi="zh_TW"/>
          </w:rPr>
          <w:rPr>
            <w:color w:val="0000EE"/>
            <w:u w:val="single"/>
          </w:rPr>
          <w:t>7:14</w:t>
        </w:r>
      </w:hyperlink>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hyperlink r:id="rId56">
        <w:r>
          <w:rPr>
            <w:lang w:val="zh_TW" w:bidi="zh_TW"/>
          </w:rPr>
          <w:rPr>
            <w:color w:val="0000EE"/>
            <w:u w:val="single"/>
          </w:rPr>
          <w:t>申24:10–22</w:t>
        </w:r>
      </w:hyperlink>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7">
        <w:r>
          <w:rPr>
            <w:lang w:val="zh_TW" w:bidi="zh_TW"/>
          </w:rPr>
          <w:rPr>
            <w:color w:val="0000EE"/>
            <w:u w:val="single"/>
          </w:rPr>
          <w:t>創1:26–27</w:t>
        </w:r>
      </w:hyperlink>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