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hyperlink r:id="rId13">
        <w:r>
          <w:rPr>
            <w:lang w:val="zh_TW" w:bidi="zh_TW"/>
          </w:rPr>
          <w:rPr>
            <w:color w:val="0000EE"/>
            <w:u w:val="single"/>
          </w:rPr>
          <w:t>1:7</w:t>
        </w:r>
      </w:hyperlink>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hyperlink r:id="rId14">
        <w:r>
          <w:rPr>
            <w:lang w:val="zh_TW" w:bidi="zh_TW"/>
          </w:rPr>
          <w:rPr>
            <w:color w:val="0000EE"/>
            <w:u w:val="single"/>
          </w:rPr>
          <w:t>徒19:10</w:t>
        </w:r>
      </w:hyperlink>
      <w:r>
        <w:rPr>
          <w:lang w:val="zh_TW" w:bidi="zh_TW"/>
        </w:rPr>
        <w:t>）。雖然保羅本人從未到訪歌羅西（</w:t>
      </w:r>
      <w:hyperlink r:id="rId15">
        <w:r>
          <w:rPr>
            <w:lang w:val="zh_TW" w:bidi="zh_TW"/>
          </w:rPr>
          <w:rPr>
            <w:color w:val="0000EE"/>
            <w:u w:val="single"/>
          </w:rPr>
          <w:t>西2:1</w:t>
        </w:r>
      </w:hyperlink>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hyperlink r:id="rId16">
        <w:r>
          <w:rPr>
            <w:lang w:val="zh_TW" w:bidi="zh_TW"/>
          </w:rPr>
          <w:rPr>
            <w:color w:val="0000EE"/>
            <w:u w:val="single"/>
          </w:rPr>
          <w:t>4:12</w:t>
        </w:r>
      </w:hyperlink>
      <w:r>
        <w:rPr>
          <w:lang w:val="zh_TW" w:bidi="zh_TW"/>
        </w:rPr>
        <w:t>）。以巴弗向保羅述說這間年輕教會所遭遇的一些困難。特別令他擔憂的是，有些異端教師在歌羅西推崇那「執政的、掌權的」（</w:t>
      </w:r>
      <w:hyperlink r:id="rId17">
        <w:r>
          <w:rPr>
            <w:lang w:val="zh_TW" w:bidi="zh_TW"/>
          </w:rPr>
          <w:rPr>
            <w:color w:val="0000EE"/>
            <w:u w:val="single"/>
          </w:rPr>
          <w:t>2:15</w:t>
        </w:r>
      </w:hyperlink>
      <w:r>
        <w:rPr>
          <w:lang w:val="zh_TW" w:bidi="zh_TW"/>
        </w:rPr>
        <w:t>）和「世上的小學」（</w:t>
      </w:r>
      <w:hyperlink r:id="rId18">
        <w:r>
          <w:rPr>
            <w:lang w:val="zh_TW" w:bidi="zh_TW"/>
          </w:rPr>
          <w:rPr>
            <w:color w:val="0000EE"/>
            <w:u w:val="single"/>
          </w:rPr>
          <w:t>2:8</w:t>
        </w:r>
      </w:hyperlink>
      <w:r>
        <w:rPr>
          <w:lang w:val="zh_TW" w:bidi="zh_TW"/>
        </w:rPr>
        <w:t>、</w:t>
      </w:r>
      <w:hyperlink r:id="rId19">
        <w:r>
          <w:rPr>
            <w:lang w:val="zh_TW" w:bidi="zh_TW"/>
          </w:rPr>
          <w:rPr>
            <w:color w:val="0000EE"/>
            <w:u w:val="single"/>
          </w:rPr>
          <w:t>20</w:t>
        </w:r>
      </w:hyperlink>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hyperlink r:id="rId20">
        <w:r>
          <w:rPr>
            <w:lang w:val="zh_TW" w:bidi="zh_TW"/>
          </w:rPr>
          <w:rPr>
            <w:color w:val="0000EE"/>
            <w:u w:val="single"/>
          </w:rPr>
          <w:t>第一至二章</w:t>
        </w:r>
      </w:hyperlink>
      <w:r>
        <w:rPr>
          <w:lang w:val="zh_TW" w:bidi="zh_TW"/>
        </w:rPr>
        <w:t>著重於神學，</w:t>
      </w:r>
      <w:hyperlink r:id="rId21">
        <w:r>
          <w:rPr>
            <w:lang w:val="zh_TW" w:bidi="zh_TW"/>
          </w:rPr>
          <w:rPr>
            <w:color w:val="0000EE"/>
            <w:u w:val="single"/>
          </w:rPr>
          <w:t>第三至四章</w:t>
        </w:r>
      </w:hyperlink>
      <w:r>
        <w:rPr>
          <w:lang w:val="zh_TW" w:bidi="zh_TW"/>
        </w:rPr>
        <w:t>則關注實際生活的應用。</w:t>
      </w:r>
    </w:p>
    <w:p>
      <w:pPr/>
      <w:r>
        <w:rPr>
          <w:lang w:val="zh_TW" w:bidi="zh_TW"/>
        </w:rPr>
      </w:r>
      <w:r>
        <w:rPr>
          <w:lang w:val="zh_TW" w:bidi="zh_TW"/>
        </w:rPr>
        <w:t>保羅在問安 （</w:t>
      </w:r>
      <w:hyperlink r:id="rId22">
        <w:r>
          <w:rPr>
            <w:lang w:val="zh_TW" w:bidi="zh_TW"/>
          </w:rPr>
          <w:rPr>
            <w:color w:val="0000EE"/>
            <w:u w:val="single"/>
          </w:rPr>
          <w:t>1:1–2</w:t>
        </w:r>
      </w:hyperlink>
      <w:r>
        <w:rPr>
          <w:lang w:val="zh_TW" w:bidi="zh_TW"/>
        </w:rPr>
        <w:t>）後，一如新約書信的慣例，開始一段感恩的話語（</w:t>
      </w:r>
      <w:hyperlink r:id="rId23">
        <w:r>
          <w:rPr>
            <w:lang w:val="zh_TW" w:bidi="zh_TW"/>
          </w:rPr>
          <w:rPr>
            <w:color w:val="0000EE"/>
            <w:u w:val="single"/>
          </w:rPr>
          <w:t>1:3–14</w:t>
        </w:r>
      </w:hyperlink>
      <w:r>
        <w:rPr>
          <w:lang w:val="zh_TW" w:bidi="zh_TW"/>
        </w:rPr>
        <w:t>）。接著，為了闡明他的核心神學觀點，保羅引用並改寫了一首讚美至高基督的詩歌（</w:t>
      </w:r>
      <w:hyperlink r:id="rId24">
        <w:r>
          <w:rPr>
            <w:lang w:val="zh_TW" w:bidi="zh_TW"/>
          </w:rPr>
          <w:rPr>
            <w:color w:val="0000EE"/>
            <w:u w:val="single"/>
          </w:rPr>
          <w:t>1:15–20</w:t>
        </w:r>
      </w:hyperlink>
      <w:r>
        <w:rPr>
          <w:lang w:val="zh_TW" w:bidi="zh_TW"/>
        </w:rPr>
        <w:t>），然後將其應用於實際生活（</w:t>
      </w:r>
      <w:hyperlink r:id="rId25">
        <w:r>
          <w:rPr>
            <w:lang w:val="zh_TW" w:bidi="zh_TW"/>
          </w:rPr>
          <w:rPr>
            <w:color w:val="0000EE"/>
            <w:u w:val="single"/>
          </w:rPr>
          <w:t>1:21–23</w:t>
        </w:r>
      </w:hyperlink>
      <w:r>
        <w:rPr>
          <w:lang w:val="zh_TW" w:bidi="zh_TW"/>
        </w:rPr>
        <w:t>），隨後再談論他作為外邦人使徒的職事（</w:t>
      </w:r>
      <w:hyperlink r:id="rId26">
        <w:r>
          <w:rPr>
            <w:lang w:val="zh_TW" w:bidi="zh_TW"/>
          </w:rPr>
          <w:rPr>
            <w:color w:val="0000EE"/>
            <w:u w:val="single"/>
          </w:rPr>
          <w:t>1:24–2:5</w:t>
        </w:r>
      </w:hyperlink>
      <w:r>
        <w:rPr>
          <w:lang w:val="zh_TW" w:bidi="zh_TW"/>
        </w:rPr>
        <w:t>）。之後他回到主題，勸勉歌羅西信徒持守對基督耶穌的忠誠，因為唯有祂供應了信徒屬靈的生命（</w:t>
      </w:r>
      <w:hyperlink r:id="rId27">
        <w:r>
          <w:rPr>
            <w:lang w:val="zh_TW" w:bidi="zh_TW"/>
          </w:rPr>
          <w:rPr>
            <w:color w:val="0000EE"/>
            <w:u w:val="single"/>
          </w:rPr>
          <w:t>2:6–15</w:t>
        </w:r>
      </w:hyperlink>
      <w:r>
        <w:rPr>
          <w:lang w:val="zh_TW" w:bidi="zh_TW"/>
        </w:rPr>
        <w:t>）。這封書信的神學部分以警告結束，提醒信徒不要以規條作為實現屬靈生命的手段（</w:t>
      </w:r>
      <w:hyperlink r:id="rId28">
        <w:r>
          <w:rPr>
            <w:lang w:val="zh_TW" w:bidi="zh_TW"/>
          </w:rPr>
          <w:rPr>
            <w:color w:val="0000EE"/>
            <w:u w:val="single"/>
          </w:rPr>
          <w:t>2:16–23</w:t>
        </w:r>
      </w:hyperlink>
      <w:r>
        <w:rPr>
          <w:lang w:val="zh_TW" w:bidi="zh_TW"/>
        </w:rPr>
        <w:t>）。</w:t>
      </w:r>
    </w:p>
    <w:p>
      <w:pPr/>
      <w:r>
        <w:rPr>
          <w:lang w:val="zh_TW" w:bidi="zh_TW"/>
        </w:rPr>
      </w:r>
      <w:r>
        <w:rPr>
          <w:lang w:val="zh_TW" w:bidi="zh_TW"/>
        </w:rPr>
        <w:t>書信的後半部分（</w:t>
      </w:r>
      <w:hyperlink r:id="rId21">
        <w:r>
          <w:rPr>
            <w:lang w:val="zh_TW" w:bidi="zh_TW"/>
          </w:rPr>
          <w:rPr>
            <w:color w:val="0000EE"/>
            <w:u w:val="single"/>
          </w:rPr>
          <w:t>3–4章</w:t>
        </w:r>
      </w:hyperlink>
      <w:r>
        <w:rPr>
          <w:lang w:val="zh_TW" w:bidi="zh_TW"/>
        </w:rPr>
        <w:t>）偏向實踐層面，首先是一個整體的呼籲，要信徒脫離罪惡、活出在基督裡的新生命（</w:t>
      </w:r>
      <w:hyperlink r:id="rId29">
        <w:r>
          <w:rPr>
            <w:lang w:val="zh_TW" w:bidi="zh_TW"/>
          </w:rPr>
          <w:rPr>
            <w:color w:val="0000EE"/>
            <w:u w:val="single"/>
          </w:rPr>
          <w:t>3:1–11</w:t>
        </w:r>
      </w:hyperlink>
      <w:r>
        <w:rPr>
          <w:lang w:val="zh_TW" w:bidi="zh_TW"/>
        </w:rPr>
        <w:t>）。接下來，保羅提供了關於基督徒群體生活（</w:t>
      </w:r>
      <w:hyperlink r:id="rId30">
        <w:r>
          <w:rPr>
            <w:lang w:val="zh_TW" w:bidi="zh_TW"/>
          </w:rPr>
          <w:rPr>
            <w:color w:val="0000EE"/>
            <w:u w:val="single"/>
          </w:rPr>
          <w:t>3:12–17</w:t>
        </w:r>
      </w:hyperlink>
      <w:r>
        <w:rPr>
          <w:lang w:val="zh_TW" w:bidi="zh_TW"/>
        </w:rPr>
        <w:t>）及家庭生活的指引（</w:t>
      </w:r>
      <w:hyperlink r:id="rId31">
        <w:r>
          <w:rPr>
            <w:lang w:val="zh_TW" w:bidi="zh_TW"/>
          </w:rPr>
          <w:rPr>
            <w:color w:val="0000EE"/>
            <w:u w:val="single"/>
          </w:rPr>
          <w:t>3:18–4:1</w:t>
        </w:r>
      </w:hyperlink>
      <w:r>
        <w:rPr>
          <w:lang w:val="zh_TW" w:bidi="zh_TW"/>
        </w:rPr>
        <w:t>）。書信最後勉勵信徒持續禱告（</w:t>
      </w:r>
      <w:hyperlink r:id="rId32">
        <w:r>
          <w:rPr>
            <w:lang w:val="zh_TW" w:bidi="zh_TW"/>
          </w:rPr>
          <w:rPr>
            <w:color w:val="0000EE"/>
            <w:u w:val="single"/>
          </w:rPr>
          <w:t>4:2–6</w:t>
        </w:r>
      </w:hyperlink>
      <w:r>
        <w:rPr>
          <w:lang w:val="zh_TW" w:bidi="zh_TW"/>
        </w:rPr>
        <w:t>），並提到一些同工及其他信徒的近況（</w:t>
      </w:r>
      <w:hyperlink r:id="rId33">
        <w:r>
          <w:rPr>
            <w:lang w:val="zh_TW" w:bidi="zh_TW"/>
          </w:rPr>
          <w:rPr>
            <w:color w:val="0000EE"/>
            <w:u w:val="single"/>
          </w:rPr>
          <w:t>4:7–18</w:t>
        </w:r>
      </w:hyperlink>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hyperlink r:id="rId34">
        <w:r>
          <w:rPr>
            <w:lang w:val="zh_TW" w:bidi="zh_TW"/>
          </w:rPr>
          <w:rPr>
            <w:color w:val="0000EE"/>
            <w:u w:val="single"/>
          </w:rPr>
          <w:t>4:18</w:t>
        </w:r>
      </w:hyperlink>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hyperlink r:id="rId35">
        <w:r>
          <w:rPr>
            <w:lang w:val="zh_TW" w:bidi="zh_TW"/>
          </w:rPr>
          <w:rPr>
            <w:color w:val="0000EE"/>
            <w:u w:val="single"/>
          </w:rPr>
          <w:t>4:9</w:t>
        </w:r>
      </w:hyperlink>
      <w:r>
        <w:rPr>
          <w:lang w:val="zh_TW" w:bidi="zh_TW"/>
        </w:rPr>
        <w:t>）。此外，在歌羅西書（</w:t>
      </w:r>
      <w:hyperlink r:id="rId36">
        <w:r>
          <w:rPr>
            <w:lang w:val="zh_TW" w:bidi="zh_TW"/>
          </w:rPr>
          <w:rPr>
            <w:color w:val="0000EE"/>
            <w:u w:val="single"/>
          </w:rPr>
          <w:t>4:7</w:t>
        </w:r>
      </w:hyperlink>
      <w:r>
        <w:rPr>
          <w:lang w:val="zh_TW" w:bidi="zh_TW"/>
        </w:rPr>
        <w:t>）和以弗所書（</w:t>
      </w:r>
      <w:hyperlink r:id="rId37">
        <w:r>
          <w:rPr>
            <w:lang w:val="zh_TW" w:bidi="zh_TW"/>
          </w:rPr>
          <w:rPr>
            <w:color w:val="0000EE"/>
            <w:u w:val="single"/>
          </w:rPr>
          <w:t>6:21</w:t>
        </w:r>
      </w:hyperlink>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38">
        <w:r>
          <w:rPr>
            <w:lang w:val="zh_TW" w:bidi="zh_TW"/>
          </w:rPr>
          <w:rPr>
            <w:color w:val="0000EE"/>
            <w:u w:val="single"/>
          </w:rPr>
          <w:t>2:16</w:t>
        </w:r>
      </w:hyperlink>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39">
        <w:r>
          <w:rPr>
            <w:lang w:val="zh_TW" w:bidi="zh_TW"/>
          </w:rPr>
          <w:rPr>
            <w:color w:val="0000EE"/>
            <w:u w:val="single"/>
          </w:rPr>
          <w:t>2:19</w:t>
        </w:r>
      </w:hyperlink>
      <w:r>
        <w:rPr>
          <w:lang w:val="zh_TW" w:bidi="zh_TW"/>
        </w:rPr>
        <w:t>）。假教師所強調的規條並不來自基督，因此這些規條無法帶來真正的屬靈益處（</w:t>
      </w:r>
      <w:hyperlink r:id="rId40">
        <w:r>
          <w:rPr>
            <w:lang w:val="zh_TW" w:bidi="zh_TW"/>
          </w:rPr>
          <w:rPr>
            <w:color w:val="0000EE"/>
            <w:u w:val="single"/>
          </w:rPr>
          <w:t>2:23</w:t>
        </w:r>
      </w:hyperlink>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hyperlink r:id="rId28">
        <w:r>
          <w:rPr>
            <w:lang w:val="zh_TW" w:bidi="zh_TW"/>
          </w:rPr>
          <w:rPr>
            <w:color w:val="0000EE"/>
            <w:u w:val="single"/>
          </w:rPr>
          <w:t>2:16–23</w:t>
        </w:r>
      </w:hyperlink>
      <w:r>
        <w:rPr>
          <w:lang w:val="zh_TW" w:bidi="zh_TW"/>
        </w:rPr>
        <w:t>）。反之，所有基督徒都當與基督的死與復活聯合（</w:t>
      </w:r>
      <w:hyperlink r:id="rId41">
        <w:r>
          <w:rPr>
            <w:lang w:val="zh_TW" w:bidi="zh_TW"/>
          </w:rPr>
          <w:rPr>
            <w:color w:val="0000EE"/>
            <w:u w:val="single"/>
          </w:rPr>
          <w:t>2:11、</w:t>
        </w:r>
      </w:hyperlink>
      <w:hyperlink r:id="rId42">
        <w:r>
          <w:rPr>
            <w:lang w:val="zh_TW" w:bidi="zh_TW"/>
          </w:rPr>
          <w:rPr>
            <w:color w:val="0000EE"/>
            <w:u w:val="single"/>
          </w:rPr>
          <w:t>19–20，</w:t>
        </w:r>
      </w:hyperlink>
      <w:hyperlink r:id="rId43">
        <w:r>
          <w:rPr>
            <w:lang w:val="zh_TW" w:bidi="zh_TW"/>
          </w:rPr>
          <w:rPr>
            <w:color w:val="0000EE"/>
            <w:u w:val="single"/>
          </w:rPr>
          <w:t>3:1–4</w:t>
        </w:r>
      </w:hyperlink>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