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ق</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القادة اليهود</w:t>
      </w:r>
      <w:r>
        <w:rPr>
          <w:rtl/>
          <w:cs/>
          <w:lang w:val="ar_AE" w:bidi="ar_AE"/>
        </w:rPr>
      </w:r>
    </w:p>
    <w:p>
      <w:pPr>
        <w:bidi/>
      </w:pPr>
      <w:r>
        <w:rPr>
          <w:rtl/>
          <w:cs/>
          <w:lang w:val="ar_AE" w:bidi="ar_AE"/>
        </w:rPr>
      </w:r>
      <w:r>
        <w:rPr>
          <w:rtl/>
          <w:cs/>
          <w:lang w:val="ar_AE" w:bidi="ar_AE"/>
        </w:rPr>
        <w:t xml:space="preserve">كثيرًا ما اختلف يسوع مع القادة اليهود وقت خدمته العلنية. كان هؤلاء القادة يعتقدون أنهم يحافظون على الهيكل وذبائحه، والمجامع وما تقدمه من تعاليم. في الأسبوع الأخير ليسوع في أورشليم، ازدادت حدة هذه الجدالات فساعدت على في بناء القضية ضده (انظر </w:t>
      </w:r>
      <w:r>
        <w:rPr>
          <w:rtl/>
          <w:cs/>
          <w:lang w:val="ar_AE" w:bidi="ar_AE"/>
        </w:rPr>
        <w:t>متّى 23</w:t>
      </w:r>
      <w:r>
        <w:rPr>
          <w:rtl/>
          <w:cs/>
          <w:lang w:val="ar_AE" w:bidi="ar_AE"/>
        </w:rPr>
        <w:t xml:space="preserve">). </w:t>
      </w:r>
    </w:p>
    <w:p>
      <w:pPr>
        <w:bidi/>
      </w:pPr>
      <w:r>
        <w:rPr>
          <w:rtl/>
          <w:cs/>
          <w:lang w:val="ar_AE" w:bidi="ar_AE"/>
        </w:rPr>
      </w:r>
      <w:r>
        <w:rPr>
          <w:rtl/>
          <w:cs/>
          <w:lang w:val="ar_AE" w:bidi="ar_AE"/>
        </w:rPr>
        <w:t xml:space="preserve">عندما كتب يوحنا إنجيله، كانت المجامع اليهودية المحلية تهاجم أتباع يسوع في مناطقهم. وقد أثر هذا الصراع على كتابة يوحنا (انظر </w:t>
      </w:r>
      <w:r>
        <w:rPr>
          <w:rtl/>
          <w:cs/>
          <w:lang w:val="ar_AE" w:bidi="ar_AE"/>
        </w:rPr>
        <w:t>أعمال الرسل 14:19</w:t>
      </w:r>
      <w:r>
        <w:rPr>
          <w:rtl/>
          <w:cs/>
          <w:lang w:val="ar_AE" w:bidi="ar_AE"/>
        </w:rPr>
        <w:t xml:space="preserve">؛ </w:t>
      </w:r>
      <w:r>
        <w:rPr>
          <w:rtl/>
          <w:cs/>
          <w:lang w:val="ar_AE" w:bidi="ar_AE"/>
        </w:rPr>
        <w:t>1تسالونيكي 2:14</w:t>
      </w:r>
      <w:r>
        <w:rPr>
          <w:rtl/>
          <w:cs/>
          <w:lang w:val="ar_AE" w:bidi="ar_AE"/>
        </w:rPr>
        <w:t xml:space="preserve">؛ قارن </w:t>
      </w:r>
      <w:r>
        <w:rPr>
          <w:rtl/>
          <w:cs/>
          <w:lang w:val="ar_AE" w:bidi="ar_AE"/>
        </w:rPr>
        <w:t>غلاطية 1:13–14</w:t>
      </w:r>
      <w:r>
        <w:rPr>
          <w:rtl/>
          <w:cs/>
          <w:lang w:val="ar_AE" w:bidi="ar_AE"/>
        </w:rPr>
        <w:t>).</w:t>
      </w:r>
    </w:p>
    <w:p>
      <w:pPr>
        <w:bidi/>
      </w:pPr>
      <w:r>
        <w:rPr>
          <w:rtl/>
          <w:cs/>
          <w:lang w:val="ar_AE" w:bidi="ar_AE"/>
        </w:rPr>
      </w:r>
      <w:r>
        <w:rPr>
          <w:rtl/>
          <w:cs/>
          <w:lang w:val="ar_AE" w:bidi="ar_AE"/>
        </w:rPr>
        <w:t xml:space="preserve">يمكن أن تشير الكلمة اليونانية لـ "القادة اليهود" أيضًا إلى "اليهود". ومع ذلك، كانت تُستخدم تحديدًا للإشارة إلى قادة الهيكل الذين عارضوا يسوع، وحكموا عليه، ودبّروا لصلبه (انظر </w:t>
      </w:r>
      <w:r>
        <w:rPr>
          <w:rtl/>
          <w:cs/>
          <w:lang w:val="ar_AE" w:bidi="ar_AE"/>
        </w:rPr>
        <w:t>يوحنّا 1:19</w:t>
      </w:r>
      <w:r>
        <w:rPr>
          <w:rtl/>
          <w:cs/>
          <w:lang w:val="ar_AE" w:bidi="ar_AE"/>
        </w:rPr>
        <w:t xml:space="preserve">؛ </w:t>
      </w:r>
      <w:r>
        <w:rPr>
          <w:rtl/>
          <w:cs/>
          <w:lang w:val="ar_AE" w:bidi="ar_AE"/>
        </w:rPr>
        <w:t>2:18</w:t>
      </w:r>
      <w:r>
        <w:rPr>
          <w:rtl/>
          <w:cs/>
          <w:lang w:val="ar_AE" w:bidi="ar_AE"/>
        </w:rPr>
        <w:t xml:space="preserve">؛ </w:t>
      </w:r>
      <w:r>
        <w:rPr>
          <w:rtl/>
          <w:cs/>
          <w:lang w:val="ar_AE" w:bidi="ar_AE"/>
        </w:rPr>
        <w:t>5:9–18</w:t>
      </w:r>
      <w:r>
        <w:rPr>
          <w:rtl/>
          <w:cs/>
          <w:lang w:val="ar_AE" w:bidi="ar_AE"/>
        </w:rPr>
        <w:t xml:space="preserve">؛ </w:t>
      </w:r>
      <w:r>
        <w:rPr>
          <w:rtl/>
          <w:cs/>
          <w:lang w:val="ar_AE" w:bidi="ar_AE"/>
        </w:rPr>
        <w:t>9:18–22</w:t>
      </w:r>
      <w:r>
        <w:rPr>
          <w:rtl/>
          <w:cs/>
          <w:lang w:val="ar_AE" w:bidi="ar_AE"/>
        </w:rPr>
        <w:t xml:space="preserve">). هذا التمييز في غاية الأهمية لأن البعض يرون العهد الجديد لاسيّما إنجيل يوحنّا، متحيزًا ضد الشعب اليهودي بوجه عام. ومع ذلك، فإن يسوع، الذي كان يهوديًا، لم يكن معارضًا لجميع اليهود. بل كان معارضوه هم "القادة اليهود"، السلطات الدينية القائمة في أورشليم في القرن الأول.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يوحنا 1:19–24</w:t>
      </w:r>
      <w:r>
        <w:rPr>
          <w:rtl/>
          <w:cs/>
          <w:lang w:val="ar_AE" w:bidi="ar_AE"/>
        </w:rPr>
        <w:t xml:space="preserve">؛ </w:t>
      </w:r>
      <w:r>
        <w:rPr>
          <w:rtl/>
          <w:cs/>
          <w:lang w:val="ar_AE" w:bidi="ar_AE"/>
        </w:rPr>
        <w:t>2:18–20</w:t>
      </w:r>
      <w:r>
        <w:rPr>
          <w:rtl/>
          <w:cs/>
          <w:lang w:val="ar_AE" w:bidi="ar_AE"/>
        </w:rPr>
        <w:t xml:space="preserve">؛ </w:t>
      </w:r>
      <w:r>
        <w:rPr>
          <w:rtl/>
          <w:cs/>
          <w:lang w:val="ar_AE" w:bidi="ar_AE"/>
        </w:rPr>
        <w:t>5:9–18</w:t>
      </w:r>
      <w:r>
        <w:rPr>
          <w:rtl/>
          <w:cs/>
          <w:lang w:val="ar_AE" w:bidi="ar_AE"/>
        </w:rPr>
        <w:t xml:space="preserve">؛ </w:t>
      </w:r>
      <w:r>
        <w:rPr>
          <w:rtl/>
          <w:cs/>
          <w:lang w:val="ar_AE" w:bidi="ar_AE"/>
        </w:rPr>
        <w:t>7:1</w:t>
      </w:r>
      <w:r>
        <w:rPr>
          <w:rtl/>
          <w:cs/>
          <w:lang w:val="ar_AE" w:bidi="ar_AE"/>
        </w:rPr>
        <w:t xml:space="preserve">، </w:t>
      </w:r>
      <w:r>
        <w:rPr>
          <w:rtl/>
          <w:cs/>
          <w:lang w:val="ar_AE" w:bidi="ar_AE"/>
        </w:rPr>
        <w:t>10–13</w:t>
      </w:r>
      <w:r>
        <w:rPr>
          <w:rtl/>
          <w:cs/>
          <w:lang w:val="ar_AE" w:bidi="ar_AE"/>
        </w:rPr>
        <w:t xml:space="preserve">، </w:t>
      </w:r>
      <w:r>
        <w:rPr>
          <w:rtl/>
          <w:cs/>
          <w:lang w:val="ar_AE" w:bidi="ar_AE"/>
        </w:rPr>
        <w:t>35–36</w:t>
      </w:r>
      <w:r>
        <w:rPr>
          <w:rtl/>
          <w:cs/>
          <w:lang w:val="ar_AE" w:bidi="ar_AE"/>
        </w:rPr>
        <w:t xml:space="preserve">؛ </w:t>
      </w:r>
      <w:r>
        <w:rPr>
          <w:rtl/>
          <w:cs/>
          <w:lang w:val="ar_AE" w:bidi="ar_AE"/>
        </w:rPr>
        <w:t>9:13–34</w:t>
      </w:r>
      <w:r>
        <w:rPr>
          <w:rtl/>
          <w:cs/>
          <w:lang w:val="ar_AE" w:bidi="ar_AE"/>
        </w:rPr>
        <w:t xml:space="preserve">؛ </w:t>
      </w:r>
      <w:r>
        <w:rPr>
          <w:rtl/>
          <w:cs/>
          <w:lang w:val="ar_AE" w:bidi="ar_AE"/>
        </w:rPr>
        <w:t>11:45–54</w:t>
      </w:r>
      <w:r>
        <w:rPr>
          <w:rtl/>
          <w:cs/>
          <w:lang w:val="ar_AE" w:bidi="ar_AE"/>
        </w:rPr>
        <w:t xml:space="preserve">؛ </w:t>
      </w:r>
      <w:r>
        <w:rPr>
          <w:rtl/>
          <w:cs/>
          <w:lang w:val="ar_AE" w:bidi="ar_AE"/>
        </w:rPr>
        <w:t>12:41–43</w:t>
      </w:r>
      <w:r>
        <w:rPr>
          <w:rtl/>
          <w:cs/>
          <w:lang w:val="ar_AE" w:bidi="ar_AE"/>
        </w:rPr>
        <w:t xml:space="preserve">؛ </w:t>
      </w:r>
      <w:r>
        <w:rPr>
          <w:rtl/>
          <w:cs/>
          <w:lang w:val="ar_AE" w:bidi="ar_AE"/>
        </w:rPr>
        <w:t>18:28–36</w:t>
      </w:r>
      <w:r>
        <w:rPr>
          <w:rtl/>
          <w:cs/>
          <w:lang w:val="ar_AE" w:bidi="ar_AE"/>
        </w:rPr>
        <w:t xml:space="preserve">؛ </w:t>
      </w:r>
      <w:r>
        <w:rPr>
          <w:rtl/>
          <w:cs/>
          <w:lang w:val="ar_AE" w:bidi="ar_AE"/>
        </w:rPr>
        <w:t>19:6–8</w:t>
      </w:r>
      <w:r>
        <w:rPr>
          <w:rtl/>
          <w:cs/>
          <w:lang w:val="ar_AE" w:bidi="ar_AE"/>
        </w:rPr>
        <w:t xml:space="preserve">، </w:t>
      </w:r>
      <w:r>
        <w:rPr>
          <w:rtl/>
          <w:cs/>
          <w:lang w:val="ar_AE" w:bidi="ar_AE"/>
        </w:rPr>
        <w:t>12–16</w:t>
      </w:r>
      <w:r>
        <w:rPr>
          <w:rtl/>
          <w:cs/>
          <w:lang w:val="ar_AE" w:bidi="ar_AE"/>
        </w:rPr>
        <w:t xml:space="preserve">، </w:t>
      </w:r>
      <w:r>
        <w:rPr>
          <w:rtl/>
          <w:cs/>
          <w:lang w:val="ar_AE" w:bidi="ar_AE"/>
        </w:rPr>
        <w:t>31</w:t>
      </w:r>
      <w:r>
        <w:rPr>
          <w:rtl/>
          <w:cs/>
          <w:lang w:val="ar_AE" w:bidi="ar_AE"/>
        </w:rPr>
        <w:t xml:space="preserve">، </w:t>
      </w:r>
      <w:r>
        <w:rPr>
          <w:rtl/>
          <w:cs/>
          <w:lang w:val="ar_AE" w:bidi="ar_AE"/>
        </w:rPr>
        <w:t>38</w:t>
      </w:r>
      <w:r>
        <w:rPr>
          <w:rtl/>
          <w:cs/>
          <w:lang w:val="ar_AE" w:bidi="ar_AE"/>
        </w:rPr>
        <w:t xml:space="preserve">؛ </w:t>
      </w:r>
      <w:r>
        <w:rPr>
          <w:rtl/>
          <w:cs/>
          <w:lang w:val="ar_AE" w:bidi="ar_AE"/>
        </w:rPr>
        <w:t>20:19</w:t>
      </w:r>
      <w:r>
        <w:rPr>
          <w:rtl/>
          <w:cs/>
          <w:lang w:val="ar_AE" w:bidi="ar_AE"/>
        </w:rPr>
        <w:t xml:space="preserve">؛ </w:t>
      </w:r>
      <w:r>
        <w:rPr>
          <w:rtl/>
          <w:cs/>
          <w:lang w:val="ar_AE" w:bidi="ar_AE"/>
        </w:rPr>
        <w:t>أعمال الرسل 6:10–12</w:t>
      </w:r>
      <w:r>
        <w:rPr>
          <w:rtl/>
          <w:cs/>
          <w:lang w:val="ar_AE" w:bidi="ar_AE"/>
        </w:rPr>
        <w:t xml:space="preserve">؛ </w:t>
      </w:r>
      <w:r>
        <w:rPr>
          <w:rtl/>
          <w:cs/>
          <w:lang w:val="ar_AE" w:bidi="ar_AE"/>
        </w:rPr>
        <w:t>7:54–58</w:t>
      </w:r>
      <w:r>
        <w:rPr>
          <w:rtl/>
          <w:cs/>
          <w:lang w:val="ar_AE" w:bidi="ar_AE"/>
        </w:rPr>
        <w:t xml:space="preserve">؛ </w:t>
      </w:r>
      <w:r>
        <w:rPr>
          <w:rtl/>
          <w:cs/>
          <w:lang w:val="ar_AE" w:bidi="ar_AE"/>
        </w:rPr>
        <w:t>12:11</w:t>
      </w:r>
      <w:r>
        <w:rPr>
          <w:rtl/>
          <w:cs/>
          <w:lang w:val="ar_AE" w:bidi="ar_AE"/>
        </w:rPr>
        <w:t xml:space="preserve">؛ </w:t>
      </w:r>
      <w:r>
        <w:rPr>
          <w:rtl/>
          <w:cs/>
          <w:lang w:val="ar_AE" w:bidi="ar_AE"/>
        </w:rPr>
        <w:t>21:11</w:t>
      </w:r>
      <w:r>
        <w:rPr>
          <w:rtl/>
          <w:cs/>
          <w:lang w:val="ar_AE" w:bidi="ar_AE"/>
        </w:rPr>
        <w:t xml:space="preserve">؛ </w:t>
      </w:r>
      <w:r>
        <w:rPr>
          <w:rtl/>
          <w:cs/>
          <w:lang w:val="ar_AE" w:bidi="ar_AE"/>
        </w:rPr>
        <w:t>25:1–3</w:t>
      </w:r>
      <w:r>
        <w:rPr>
          <w:rtl/>
          <w:cs/>
          <w:lang w:val="ar_AE" w:bidi="ar_AE"/>
        </w:rPr>
        <w:t xml:space="preserve">، </w:t>
      </w:r>
      <w:r>
        <w:rPr>
          <w:rtl/>
          <w:cs/>
          <w:lang w:val="ar_AE" w:bidi="ar_AE"/>
        </w:rPr>
        <w:t>7</w:t>
      </w:r>
      <w:r>
        <w:rPr>
          <w:rtl/>
          <w:cs/>
          <w:lang w:val="ar_AE" w:bidi="ar_AE"/>
        </w:rPr>
        <w:t xml:space="preserve">؛ </w:t>
      </w:r>
      <w:r>
        <w:rPr>
          <w:rtl/>
          <w:cs/>
          <w:lang w:val="ar_AE" w:bidi="ar_AE"/>
        </w:rPr>
        <w:t>26:1–11</w:t>
      </w:r>
      <w:r>
        <w:rPr>
          <w:rtl/>
          <w:cs/>
          <w:lang w:val="ar_AE" w:bidi="ar_AE"/>
        </w:rPr>
        <w:t xml:space="preserve">؛ </w:t>
      </w:r>
      <w:r>
        <w:rPr>
          <w:rtl/>
          <w:cs/>
          <w:lang w:val="ar_AE" w:bidi="ar_AE"/>
        </w:rPr>
        <w:t>28:17–24</w:t>
      </w:r>
      <w:r>
        <w:rPr>
          <w:rtl/>
          <w:cs/>
          <w:lang w:val="ar_AE" w:bidi="ar_AE"/>
        </w:rPr>
        <w:t xml:space="preserve">؛ </w:t>
      </w:r>
      <w:r>
        <w:rPr>
          <w:rtl/>
          <w:cs/>
          <w:lang w:val="ar_AE" w:bidi="ar_AE"/>
        </w:rPr>
        <w:t>2كورنثوس 11:24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