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(Profiles)</w:t>
      </w:r>
      <w:r>
        <w:rPr>
          <w:lang w:val="fr_FR" w:bidi="fr_FR"/>
        </w:rPr>
      </w:r>
    </w:p>
    <w:p>
      <w:pPr/>
      <w:r>
        <w:rPr>
          <w:lang w:val="fr_FR" w:bidi="fr_FR"/>
        </w:rPr>
      </w:r>
      <w:r>
        <w:rPr>
          <w:b/>
          <w:lang w:val="fr_FR" w:bidi="fr_FR"/>
        </w:rPr>
        <w:t>Aquifer Open Study Notes (Profiles)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Nebucadnetsar II</w:t>
      </w:r>
      <w:r>
        <w:rPr>
          <w:lang w:val="fr_FR" w:bidi="fr_FR"/>
        </w:rPr>
      </w:r>
    </w:p>
    <w:p>
      <w:pPr/>
      <w:r>
        <w:rPr>
          <w:lang w:val="fr_FR" w:bidi="fr_FR"/>
        </w:rPr>
      </w:r>
      <w:r>
        <w:rPr>
          <w:lang w:val="fr_FR" w:bidi="fr_FR"/>
        </w:rPr>
        <w:t>Le roi Nebucadnetsar II a régné sur Babylone de 605 à 562 av. J.‑C. Il a renforcé et étendu l’empire de son père, Nabopolassar, qui a régné de 626 à 605 av. J.‑C. En plus de la Bible, de nombreux documents babyloniens anciens décrivent les réalisations de Nebucadnetsar.</w:t>
      </w:r>
    </w:p>
    <w:p>
      <w:pPr/>
      <w:r>
        <w:rPr>
          <w:lang w:val="fr_FR" w:bidi="fr_FR"/>
        </w:rPr>
      </w:r>
      <w:r>
        <w:rPr>
          <w:lang w:val="fr_FR" w:bidi="fr_FR"/>
        </w:rPr>
        <w:t>En 626 av. J.‑C., Babylone, tout comme Juda, était sous contrôle assyrien. Cette année-là, Nabopolassar a lancé une révolte qui allait changer le monde. En 612 av. J.‑C., les Babyloniens ont pris Ninive, la capitale de l’Assyrie, et ont de nouveau vaincu les Assyriens à Haran en 609 av. J.‑C. Lors de cette bataille, le fils de Nabopolassar, Nebucadnetsar, était le commandant de l’armée. En 605 av. J.‑C., Nebucadnetsar a vaincu l’armée assyrienne restante à Carkemisch. Cette victoire a également forcé les Égyptiens à se replier à l’intérieur de leurs frontières. La même année, Nabopolassar est mort, et son fils est devenu roi.</w:t>
      </w:r>
    </w:p>
    <w:p>
      <w:pPr/>
      <w:r>
        <w:rPr>
          <w:lang w:val="fr_FR" w:bidi="fr_FR"/>
        </w:rPr>
      </w:r>
      <w:r>
        <w:rPr>
          <w:lang w:val="fr_FR" w:bidi="fr_FR"/>
        </w:rPr>
        <w:t>Après avoir remporté la victoire à Carkemisch en 605 av. J.‑C., Nebucadnetsar a conquis la Syrie et les régions voisines, y compris Juda. Cette année-là, il a assiégé Jérusalem pour la première fois (</w:t>
      </w:r>
      <w:r>
        <w:rPr>
          <w:lang w:val="fr_FR" w:bidi="fr_FR"/>
        </w:rPr>
        <w:t>2R 24.1</w:t>
      </w:r>
      <w:r>
        <w:rPr>
          <w:lang w:val="fr_FR" w:bidi="fr_FR"/>
        </w:rPr>
        <w:t xml:space="preserve"> ; </w:t>
      </w:r>
      <w:r>
        <w:rPr>
          <w:lang w:val="fr_FR" w:bidi="fr_FR"/>
        </w:rPr>
        <w:t>1.1–2</w:t>
      </w:r>
      <w:r>
        <w:rPr>
          <w:lang w:val="fr_FR" w:bidi="fr_FR"/>
        </w:rPr>
        <w:t>). Il s’est emparé de certains objets du temple et de plusieurs jeunes dirigeants de Juda, dont Daniel et ses trois amis. Nebucadnetsar a pris à nouveau Jérusalem en 597 av. J.‑C. (</w:t>
      </w:r>
      <w:r>
        <w:rPr>
          <w:lang w:val="fr_FR" w:bidi="fr_FR"/>
        </w:rPr>
        <w:t>2R 24.10–17</w:t>
      </w:r>
      <w:r>
        <w:rPr>
          <w:lang w:val="fr_FR" w:bidi="fr_FR"/>
        </w:rPr>
        <w:t>). Il a assiégé Jérusalem en 588 av. J.‑C. et a détruit la ville et le temple en 586 av. J.‑C., et a condamné à l’exil la plupart des habitants qui restaient (</w:t>
      </w:r>
      <w:r>
        <w:rPr>
          <w:lang w:val="fr_FR" w:bidi="fr_FR"/>
        </w:rPr>
        <w:t>2R 25.1–21</w:t>
      </w:r>
      <w:r>
        <w:rPr>
          <w:lang w:val="fr_FR" w:bidi="fr_FR"/>
        </w:rPr>
        <w:t>).</w:t>
      </w:r>
    </w:p>
    <w:p>
      <w:pPr/>
      <w:r>
        <w:rPr>
          <w:lang w:val="fr_FR" w:bidi="fr_FR"/>
        </w:rPr>
      </w:r>
      <w:r>
        <w:rPr>
          <w:lang w:val="fr_FR" w:bidi="fr_FR"/>
        </w:rPr>
        <w:t>Une description détaillée et intéressante de Nebucadnetsar se trouve dans le livre de Daniel. Nebucadnetsar a emmené Daniel et ses amis à Babylone avec lui pour leur enseigner les us et coutumes babyloniens. Cependant, Dieu a utilisé Daniel pour donner des enseignements à Nebucadnetsar au sujet de Dieu. Après avoir été humilié en raison de son grand orgueil (</w:t>
      </w:r>
      <w:r>
        <w:rPr>
          <w:lang w:val="fr_FR" w:bidi="fr_FR"/>
        </w:rPr>
        <w:t>Dn 4.28–33</w:t>
      </w:r>
      <w:r>
        <w:rPr>
          <w:lang w:val="fr_FR" w:bidi="fr_FR"/>
        </w:rPr>
        <w:t>), Nebucadnetsar a reconnu la souveraineté et la puissance du Seigneur (</w:t>
      </w:r>
      <w:r>
        <w:rPr>
          <w:lang w:val="fr_FR" w:bidi="fr_FR"/>
        </w:rPr>
        <w:t>Dn 4.34–37</w:t>
      </w:r>
      <w:r>
        <w:rPr>
          <w:lang w:val="fr_FR" w:bidi="fr_FR"/>
        </w:rPr>
        <w:t>). Il est cependant probable qu’il n’ait jamais adoré uniquement le vrai Dieu.</w:t>
      </w:r>
    </w:p>
    <w:p>
      <w:pPr/>
      <w:r>
        <w:rPr>
          <w:lang w:val="fr_FR" w:bidi="fr_FR"/>
        </w:rPr>
      </w:r>
      <w:r>
        <w:rPr>
          <w:u w:val="single"/>
          <w:lang w:val="fr_FR" w:bidi="fr_FR"/>
        </w:rPr>
        <w:t>Passages pour une étude approfondie</w:t>
      </w:r>
    </w:p>
    <w:p>
      <w:pPr/>
      <w:r>
        <w:rPr>
          <w:lang w:val="fr_FR" w:bidi="fr_FR"/>
        </w:rPr>
      </w:r>
      <w:r>
        <w:rPr>
          <w:lang w:val="fr_FR" w:bidi="fr_FR"/>
        </w:rPr>
        <w:t xml:space="preserve">2R 24.1–25.30 </w:t>
      </w:r>
      <w:r>
        <w:rPr>
          <w:lang w:val="fr_FR" w:bidi="fr_FR"/>
        </w:rPr>
        <w:t xml:space="preserve">; </w:t>
      </w:r>
      <w:r>
        <w:rPr>
          <w:lang w:val="fr_FR" w:bidi="fr_FR"/>
        </w:rPr>
        <w:t>2 Ch 36.6–21</w:t>
      </w:r>
      <w:r>
        <w:rPr>
          <w:lang w:val="fr_FR" w:bidi="fr_FR"/>
        </w:rPr>
        <w:t xml:space="preserve"> </w:t>
      </w:r>
      <w:r>
        <w:rPr>
          <w:lang w:val="fr_FR" w:bidi="fr_FR"/>
        </w:rPr>
        <w:t xml:space="preserve">; </w:t>
      </w:r>
      <w:r>
        <w:rPr>
          <w:lang w:val="fr_FR" w:bidi="fr_FR"/>
        </w:rPr>
        <w:t>Jr 21.1–10</w:t>
      </w:r>
      <w:r>
        <w:rPr>
          <w:lang w:val="fr_FR" w:bidi="fr_FR"/>
        </w:rPr>
        <w:t xml:space="preserve"> </w:t>
      </w:r>
      <w:r>
        <w:rPr>
          <w:lang w:val="fr_FR" w:bidi="fr_FR"/>
        </w:rPr>
        <w:t xml:space="preserve">; </w:t>
      </w:r>
      <w:r>
        <w:rPr>
          <w:lang w:val="fr_FR" w:bidi="fr_FR"/>
        </w:rPr>
        <w:t>22.24–27</w:t>
      </w:r>
      <w:r>
        <w:rPr>
          <w:lang w:val="fr_FR" w:bidi="fr_FR"/>
        </w:rPr>
        <w:t xml:space="preserve"> </w:t>
      </w:r>
      <w:r>
        <w:rPr>
          <w:lang w:val="fr_FR" w:bidi="fr_FR"/>
        </w:rPr>
        <w:t xml:space="preserve">; </w:t>
      </w:r>
      <w:r>
        <w:rPr>
          <w:lang w:val="fr_FR" w:bidi="fr_FR"/>
        </w:rPr>
        <w:t xml:space="preserve">24.1 </w:t>
      </w:r>
      <w:r>
        <w:rPr>
          <w:lang w:val="fr_FR" w:bidi="fr_FR"/>
        </w:rPr>
        <w:t xml:space="preserve">; </w:t>
      </w:r>
      <w:r>
        <w:rPr>
          <w:lang w:val="fr_FR" w:bidi="fr_FR"/>
        </w:rPr>
        <w:t>25.1–14</w:t>
      </w:r>
      <w:r>
        <w:rPr>
          <w:lang w:val="fr_FR" w:bidi="fr_FR"/>
        </w:rPr>
        <w:t xml:space="preserve"> </w:t>
      </w:r>
      <w:r>
        <w:rPr>
          <w:lang w:val="fr_FR" w:bidi="fr_FR"/>
        </w:rPr>
        <w:t xml:space="preserve">; </w:t>
      </w:r>
      <w:r>
        <w:rPr>
          <w:lang w:val="fr_FR" w:bidi="fr_FR"/>
        </w:rPr>
        <w:t>27.4–8</w:t>
      </w:r>
      <w:r>
        <w:rPr>
          <w:lang w:val="fr_FR" w:bidi="fr_FR"/>
        </w:rPr>
        <w:t xml:space="preserve"> </w:t>
      </w:r>
      <w:r>
        <w:rPr>
          <w:lang w:val="fr_FR" w:bidi="fr_FR"/>
        </w:rPr>
        <w:t xml:space="preserve">; </w:t>
      </w:r>
      <w:r>
        <w:rPr>
          <w:lang w:val="fr_FR" w:bidi="fr_FR"/>
        </w:rPr>
        <w:t>28.14</w:t>
      </w:r>
      <w:r>
        <w:rPr>
          <w:lang w:val="fr_FR" w:bidi="fr_FR"/>
        </w:rPr>
        <w:t xml:space="preserve"> </w:t>
      </w:r>
      <w:r>
        <w:rPr>
          <w:lang w:val="fr_FR" w:bidi="fr_FR"/>
        </w:rPr>
        <w:t xml:space="preserve">; </w:t>
      </w:r>
      <w:r>
        <w:rPr>
          <w:lang w:val="fr_FR" w:bidi="fr_FR"/>
        </w:rPr>
        <w:t>29.1–23</w:t>
      </w:r>
      <w:r>
        <w:rPr>
          <w:lang w:val="fr_FR" w:bidi="fr_FR"/>
        </w:rPr>
        <w:t xml:space="preserve"> </w:t>
      </w:r>
      <w:r>
        <w:rPr>
          <w:lang w:val="fr_FR" w:bidi="fr_FR"/>
        </w:rPr>
        <w:t xml:space="preserve">; </w:t>
      </w:r>
      <w:r>
        <w:rPr>
          <w:lang w:val="fr_FR" w:bidi="fr_FR"/>
        </w:rPr>
        <w:t>32.1–5</w:t>
      </w:r>
      <w:r>
        <w:rPr>
          <w:lang w:val="fr_FR" w:bidi="fr_FR"/>
        </w:rPr>
        <w:t xml:space="preserve">, </w:t>
      </w:r>
      <w:r>
        <w:rPr>
          <w:lang w:val="fr_FR" w:bidi="fr_FR"/>
        </w:rPr>
        <w:t>26–31</w:t>
      </w:r>
      <w:r>
        <w:rPr>
          <w:lang w:val="fr_FR" w:bidi="fr_FR"/>
        </w:rPr>
        <w:t xml:space="preserve"> </w:t>
      </w:r>
      <w:r>
        <w:rPr>
          <w:lang w:val="fr_FR" w:bidi="fr_FR"/>
        </w:rPr>
        <w:t xml:space="preserve">; </w:t>
      </w:r>
      <w:r>
        <w:rPr>
          <w:lang w:val="fr_FR" w:bidi="fr_FR"/>
        </w:rPr>
        <w:t>34.1–3</w:t>
      </w:r>
      <w:r>
        <w:rPr>
          <w:lang w:val="fr_FR" w:bidi="fr_FR"/>
        </w:rPr>
        <w:t xml:space="preserve"> </w:t>
      </w:r>
      <w:r>
        <w:rPr>
          <w:lang w:val="fr_FR" w:bidi="fr_FR"/>
        </w:rPr>
        <w:t xml:space="preserve">; </w:t>
      </w:r>
      <w:r>
        <w:rPr>
          <w:lang w:val="fr_FR" w:bidi="fr_FR"/>
        </w:rPr>
        <w:t>37.1</w:t>
      </w:r>
      <w:r>
        <w:rPr>
          <w:lang w:val="fr_FR" w:bidi="fr_FR"/>
        </w:rPr>
        <w:t xml:space="preserve"> </w:t>
      </w:r>
      <w:r>
        <w:rPr>
          <w:lang w:val="fr_FR" w:bidi="fr_FR"/>
        </w:rPr>
        <w:t xml:space="preserve">; </w:t>
      </w:r>
      <w:r>
        <w:rPr>
          <w:lang w:val="fr_FR" w:bidi="fr_FR"/>
        </w:rPr>
        <w:t>39.1–14</w:t>
      </w:r>
      <w:r>
        <w:rPr>
          <w:lang w:val="fr_FR" w:bidi="fr_FR"/>
        </w:rPr>
        <w:t xml:space="preserve"> </w:t>
      </w:r>
      <w:r>
        <w:rPr>
          <w:lang w:val="fr_FR" w:bidi="fr_FR"/>
        </w:rPr>
        <w:t xml:space="preserve">; </w:t>
      </w:r>
      <w:r>
        <w:rPr>
          <w:lang w:val="fr_FR" w:bidi="fr_FR"/>
        </w:rPr>
        <w:t>43.10–13</w:t>
      </w:r>
      <w:r>
        <w:rPr>
          <w:lang w:val="fr_FR" w:bidi="fr_FR"/>
        </w:rPr>
        <w:t xml:space="preserve"> </w:t>
      </w:r>
      <w:r>
        <w:rPr>
          <w:lang w:val="fr_FR" w:bidi="fr_FR"/>
        </w:rPr>
        <w:t xml:space="preserve">; </w:t>
      </w:r>
      <w:r>
        <w:rPr>
          <w:lang w:val="fr_FR" w:bidi="fr_FR"/>
        </w:rPr>
        <w:t>46.2</w:t>
      </w:r>
      <w:r>
        <w:rPr>
          <w:lang w:val="fr_FR" w:bidi="fr_FR"/>
        </w:rPr>
        <w:t xml:space="preserve">, </w:t>
      </w:r>
      <w:r>
        <w:rPr>
          <w:lang w:val="fr_FR" w:bidi="fr_FR"/>
        </w:rPr>
        <w:t>13–26</w:t>
      </w:r>
      <w:r>
        <w:rPr>
          <w:lang w:val="fr_FR" w:bidi="fr_FR"/>
        </w:rPr>
        <w:t xml:space="preserve"> </w:t>
      </w:r>
      <w:r>
        <w:rPr>
          <w:lang w:val="fr_FR" w:bidi="fr_FR"/>
        </w:rPr>
        <w:t xml:space="preserve">; </w:t>
      </w:r>
      <w:r>
        <w:rPr>
          <w:lang w:val="fr_FR" w:bidi="fr_FR"/>
        </w:rPr>
        <w:t>49.28–33</w:t>
      </w:r>
      <w:r>
        <w:rPr>
          <w:lang w:val="fr_FR" w:bidi="fr_FR"/>
        </w:rPr>
        <w:t xml:space="preserve"> </w:t>
      </w:r>
      <w:r>
        <w:rPr>
          <w:lang w:val="fr_FR" w:bidi="fr_FR"/>
        </w:rPr>
        <w:t xml:space="preserve">; </w:t>
      </w:r>
      <w:r>
        <w:rPr>
          <w:lang w:val="fr_FR" w:bidi="fr_FR"/>
        </w:rPr>
        <w:t>50.17</w:t>
      </w:r>
      <w:r>
        <w:rPr>
          <w:lang w:val="fr_FR" w:bidi="fr_FR"/>
        </w:rPr>
        <w:t xml:space="preserve"> </w:t>
      </w:r>
      <w:r>
        <w:rPr>
          <w:lang w:val="fr_FR" w:bidi="fr_FR"/>
        </w:rPr>
        <w:t xml:space="preserve">; </w:t>
      </w:r>
      <w:r>
        <w:rPr>
          <w:lang w:val="fr_FR" w:bidi="fr_FR"/>
        </w:rPr>
        <w:t>51.34</w:t>
      </w:r>
      <w:r>
        <w:rPr>
          <w:lang w:val="fr_FR" w:bidi="fr_FR"/>
        </w:rPr>
        <w:t xml:space="preserve"> </w:t>
      </w:r>
      <w:r>
        <w:rPr>
          <w:lang w:val="fr_FR" w:bidi="fr_FR"/>
        </w:rPr>
        <w:t xml:space="preserve">; </w:t>
      </w:r>
      <w:r>
        <w:rPr>
          <w:lang w:val="fr_FR" w:bidi="fr_FR"/>
        </w:rPr>
        <w:t>52.4–16</w:t>
      </w:r>
      <w:r>
        <w:rPr>
          <w:lang w:val="fr_FR" w:bidi="fr_FR"/>
        </w:rPr>
        <w:t xml:space="preserve">, </w:t>
      </w:r>
      <w:r>
        <w:rPr>
          <w:lang w:val="fr_FR" w:bidi="fr_FR"/>
        </w:rPr>
        <w:t>28–30</w:t>
      </w:r>
      <w:r>
        <w:rPr>
          <w:lang w:val="fr_FR" w:bidi="fr_FR"/>
        </w:rPr>
        <w:t xml:space="preserve"> </w:t>
      </w:r>
      <w:r>
        <w:rPr>
          <w:lang w:val="fr_FR" w:bidi="fr_FR"/>
        </w:rPr>
        <w:t xml:space="preserve">; </w:t>
      </w:r>
      <w:r>
        <w:rPr>
          <w:lang w:val="fr_FR" w:bidi="fr_FR"/>
        </w:rPr>
        <w:t>Ez 26.7</w:t>
      </w:r>
      <w:r>
        <w:rPr>
          <w:lang w:val="fr_FR" w:bidi="fr_FR"/>
        </w:rPr>
        <w:t xml:space="preserve"> </w:t>
      </w:r>
      <w:r>
        <w:rPr>
          <w:lang w:val="fr_FR" w:bidi="fr_FR"/>
        </w:rPr>
        <w:t xml:space="preserve">; </w:t>
      </w:r>
      <w:r>
        <w:rPr>
          <w:lang w:val="fr_FR" w:bidi="fr_FR"/>
        </w:rPr>
        <w:t>29.18–20</w:t>
      </w:r>
      <w:r>
        <w:rPr>
          <w:lang w:val="fr_FR" w:bidi="fr_FR"/>
        </w:rPr>
        <w:t xml:space="preserve"> </w:t>
      </w:r>
      <w:r>
        <w:rPr>
          <w:lang w:val="fr_FR" w:bidi="fr_FR"/>
        </w:rPr>
        <w:t xml:space="preserve">; </w:t>
      </w:r>
      <w:r>
        <w:rPr>
          <w:lang w:val="fr_FR" w:bidi="fr_FR"/>
        </w:rPr>
        <w:t>30.10–11</w:t>
      </w:r>
      <w:r>
        <w:rPr>
          <w:lang w:val="fr_FR" w:bidi="fr_FR"/>
        </w:rPr>
        <w:t xml:space="preserve"> </w:t>
      </w:r>
      <w:r>
        <w:rPr>
          <w:lang w:val="fr_FR" w:bidi="fr_FR"/>
        </w:rPr>
        <w:t xml:space="preserve">; </w:t>
      </w:r>
      <w:r>
        <w:rPr>
          <w:lang w:val="fr_FR" w:bidi="fr_FR"/>
        </w:rPr>
        <w:t>Dn 1.1–4.37</w:t>
      </w:r>
      <w:r>
        <w:rPr>
          <w:lang w:val="fr_FR" w:bidi="fr_FR"/>
        </w:rPr>
      </w:r>
      <w:r>
        <w:rPr>
          <w:lang w:val="fr_FR" w:bidi="fr_FR"/>
        </w:rPr>
      </w:r>
    </w:p>
    <w:p>
      <w:pPr/>
      <w:r>
        <w:rPr>
          <w:lang w:val="fr_FR" w:bidi="fr_FR"/>
        </w:rPr>
      </w:r>
    </w:p>
    <w:p>
      <w:pPr>
        <w:pStyle w:val="Heading2"/>
      </w:pPr>
      <w:r>
        <w:rPr>
          <w:lang w:val="fr_FR" w:bidi="fr_FR"/>
        </w:rPr>
        <w:t>Néhémie</w:t>
      </w:r>
      <w:r>
        <w:rPr>
          <w:lang w:val="fr_FR" w:bidi="fr_FR"/>
        </w:rPr>
      </w:r>
    </w:p>
    <w:p>
      <w:pPr/>
      <w:r>
        <w:rPr>
          <w:lang w:val="fr_FR" w:bidi="fr_FR"/>
        </w:rPr>
      </w:r>
      <w:r>
        <w:rPr>
          <w:lang w:val="fr_FR" w:bidi="fr_FR"/>
        </w:rPr>
        <w:t>Néhémie était un puissant chef du peuple de Dieu en Judée après l’exil à Babylone. Il a encouragé et soutenu le peuple de Dieu dans des périodes difficiles.</w:t>
      </w:r>
    </w:p>
    <w:p>
      <w:pPr/>
      <w:r>
        <w:rPr>
          <w:lang w:val="fr_FR" w:bidi="fr_FR"/>
        </w:rPr>
      </w:r>
      <w:r>
        <w:rPr>
          <w:lang w:val="fr_FR" w:bidi="fr_FR"/>
        </w:rPr>
        <w:t>Avant de revenir en Judée, Néhémie occupait la fonction d’échanson auprès du roi perse Artaxerxès Iᵉʳ, qui a régné de 465 à 424 av. J.-C. Son rôle en tant qu’échanson était de servir le vin au roi, en le goûtant d’abord pour s’assurer qu’il n’était pas empoisonné. Il était un conseiller de confiance. Lorsqu’il a appris la triste situation de Jérusalem, Néhémie a été profondément touché. Il a demandé au roi la permission de retourner en Judée pour venir en aide à son peuple. Le roi a accepté et l’a nommé gouverneur de Judée pour une durée de douze ans, afin qu’il puisse soutenir ses frères juifs et reconstruire les murailles de Jérusalem. (</w:t>
      </w:r>
      <w:r>
        <w:rPr>
          <w:lang w:val="fr_FR" w:bidi="fr_FR"/>
        </w:rPr>
        <w:t>Né 1.1–2.8</w:t>
      </w:r>
      <w:r>
        <w:rPr>
          <w:lang w:val="fr_FR" w:bidi="fr_FR"/>
        </w:rPr>
        <w:t>).</w:t>
      </w:r>
    </w:p>
    <w:p>
      <w:pPr/>
      <w:r>
        <w:rPr>
          <w:lang w:val="fr_FR" w:bidi="fr_FR"/>
        </w:rPr>
      </w:r>
      <w:r>
        <w:rPr>
          <w:lang w:val="fr_FR" w:bidi="fr_FR"/>
        </w:rPr>
        <w:t>Néhémie bénéficiait du soutien du roi perse, mais il a dû affronter l’opposition des habitants locaux. Ces derniers, d’origine mixte, étaient les ancêtres des Samaritains mentionnés dans le Nouveau Testament. Néhémie a fait preuve d’un immense courage et de grandes compétences en aidant le peuple de Judée à reconstruire les murailles de Jérusalem, qui en assuraient la protection.</w:t>
      </w:r>
    </w:p>
    <w:p>
      <w:pPr/>
      <w:r>
        <w:rPr>
          <w:lang w:val="fr_FR" w:bidi="fr_FR"/>
        </w:rPr>
      </w:r>
      <w:r>
        <w:rPr>
          <w:lang w:val="fr_FR" w:bidi="fr_FR"/>
        </w:rPr>
        <w:t>Néhémie était animé d’une grande foi, dont témoignent ses prières et sa confiance en la guidance et en l’aide divines (</w:t>
      </w:r>
      <w:r>
        <w:rPr>
          <w:lang w:val="fr_FR" w:bidi="fr_FR"/>
        </w:rPr>
        <w:t>Né 1.4–11</w:t>
      </w:r>
      <w:r>
        <w:rPr>
          <w:lang w:val="fr_FR" w:bidi="fr_FR"/>
        </w:rPr>
        <w:t xml:space="preserve"> ; </w:t>
      </w:r>
      <w:r>
        <w:rPr>
          <w:lang w:val="fr_FR" w:bidi="fr_FR"/>
        </w:rPr>
        <w:t>2.4</w:t>
      </w:r>
      <w:r>
        <w:rPr>
          <w:lang w:val="fr_FR" w:bidi="fr_FR"/>
        </w:rPr>
        <w:t xml:space="preserve">, </w:t>
      </w:r>
      <w:r>
        <w:rPr>
          <w:lang w:val="fr_FR" w:bidi="fr_FR"/>
        </w:rPr>
        <w:t>8</w:t>
      </w:r>
      <w:r>
        <w:rPr>
          <w:lang w:val="fr_FR" w:bidi="fr_FR"/>
        </w:rPr>
        <w:t xml:space="preserve">, </w:t>
      </w:r>
      <w:r>
        <w:rPr>
          <w:lang w:val="fr_FR" w:bidi="fr_FR"/>
        </w:rPr>
        <w:t>18</w:t>
      </w:r>
      <w:r>
        <w:rPr>
          <w:lang w:val="fr_FR" w:bidi="fr_FR"/>
        </w:rPr>
        <w:t xml:space="preserve">, </w:t>
      </w:r>
      <w:r>
        <w:rPr>
          <w:lang w:val="fr_FR" w:bidi="fr_FR"/>
        </w:rPr>
        <w:t>20</w:t>
      </w:r>
      <w:r>
        <w:rPr>
          <w:lang w:val="fr_FR" w:bidi="fr_FR"/>
        </w:rPr>
        <w:t>). Il soutenait également la justice économique. Il a critiqué certains riches Judéens qui profitaient d’une pénurie de nourriture pour imposer des taux d’intérêt élevés à leurs parents plus pauvres. Il a servi de modèle par son comportement vertueux. (</w:t>
      </w:r>
      <w:r>
        <w:rPr>
          <w:lang w:val="fr_FR" w:bidi="fr_FR"/>
        </w:rPr>
        <w:t>Né 5</w:t>
      </w:r>
      <w:r>
        <w:rPr>
          <w:lang w:val="fr_FR" w:bidi="fr_FR"/>
        </w:rPr>
        <w:t>).</w:t>
      </w:r>
    </w:p>
    <w:p>
      <w:pPr/>
      <w:r>
        <w:rPr>
          <w:lang w:val="fr_FR" w:bidi="fr_FR"/>
        </w:rPr>
      </w:r>
      <w:r>
        <w:rPr>
          <w:lang w:val="fr_FR" w:bidi="fr_FR"/>
        </w:rPr>
        <w:t>Néhémie se préoccupait profondément de la fidélité du peuple. Il a personnellement confronté les hommes qui avaient épousé des femmes non-juives (</w:t>
      </w:r>
      <w:r>
        <w:rPr>
          <w:lang w:val="fr_FR" w:bidi="fr_FR"/>
        </w:rPr>
        <w:t>Né 13.23–29</w:t>
      </w:r>
      <w:r>
        <w:rPr>
          <w:lang w:val="fr_FR" w:bidi="fr_FR"/>
        </w:rPr>
        <w:t>). Il s’est engagé à maintenir le culte du temple. Il a conduit la communauté juive à promettre son soutien aux ouvriers du temple et à faire des offrandes (</w:t>
      </w:r>
      <w:r>
        <w:rPr>
          <w:lang w:val="fr_FR" w:bidi="fr_FR"/>
        </w:rPr>
        <w:t>Né 10.32–39</w:t>
      </w:r>
      <w:r>
        <w:rPr>
          <w:lang w:val="fr_FR" w:bidi="fr_FR"/>
        </w:rPr>
        <w:t>). Il a également amélioré la manière dont ils observaient le sabbat (</w:t>
      </w:r>
      <w:r>
        <w:rPr>
          <w:lang w:val="fr_FR" w:bidi="fr_FR"/>
        </w:rPr>
        <w:t>Né 13.15–22</w:t>
      </w:r>
      <w:r>
        <w:rPr>
          <w:lang w:val="fr_FR" w:bidi="fr_FR"/>
        </w:rPr>
        <w:t>).</w:t>
      </w:r>
    </w:p>
    <w:p>
      <w:pPr/>
      <w:r>
        <w:rPr>
          <w:lang w:val="fr_FR" w:bidi="fr_FR"/>
        </w:rPr>
      </w:r>
      <w:r>
        <w:rPr>
          <w:lang w:val="fr_FR" w:bidi="fr_FR"/>
        </w:rPr>
        <w:t xml:space="preserve">Bien qu’il y eût encore des problèmes à la fin de son séjour à Jérusalem (voir </w:t>
      </w:r>
      <w:r>
        <w:rPr>
          <w:lang w:val="fr_FR" w:bidi="fr_FR"/>
        </w:rPr>
        <w:t>Né 13</w:t>
      </w:r>
      <w:r>
        <w:rPr>
          <w:lang w:val="fr_FR" w:bidi="fr_FR"/>
        </w:rPr>
        <w:t>), Néhémie a été un chef puissant. Il a aidé les Juifs à retrouver leur identité nationale et religieuse pendant une période de faiblesse politique et économique.</w:t>
      </w:r>
    </w:p>
    <w:p>
      <w:pPr/>
      <w:r>
        <w:rPr>
          <w:lang w:val="fr_FR" w:bidi="fr_FR"/>
        </w:rPr>
      </w:r>
      <w:r>
        <w:rPr>
          <w:u w:val="single"/>
          <w:lang w:val="fr_FR" w:bidi="fr_FR"/>
        </w:rPr>
        <w:t>Passages pour une étude approfondie</w:t>
      </w:r>
    </w:p>
    <w:p>
      <w:pPr/>
      <w:r>
        <w:rPr>
          <w:lang w:val="fr_FR" w:bidi="fr_FR"/>
        </w:rPr>
      </w:r>
      <w:r>
        <w:rPr>
          <w:lang w:val="fr_FR" w:bidi="fr_FR"/>
        </w:rPr>
        <w:t>Né 1.1–7.73</w:t>
      </w:r>
      <w:r>
        <w:rPr>
          <w:lang w:val="fr_FR" w:bidi="fr_FR"/>
        </w:rPr>
        <w:t xml:space="preserve"> ; </w:t>
      </w:r>
      <w:r>
        <w:rPr>
          <w:lang w:val="fr_FR" w:bidi="fr_FR"/>
        </w:rPr>
        <w:t>8.9–10</w:t>
      </w:r>
      <w:r>
        <w:rPr>
          <w:lang w:val="fr_FR" w:bidi="fr_FR"/>
        </w:rPr>
        <w:t xml:space="preserve"> ; </w:t>
      </w:r>
      <w:r>
        <w:rPr>
          <w:lang w:val="fr_FR" w:bidi="fr_FR"/>
        </w:rPr>
        <w:t>10.1–13.31</w:t>
      </w:r>
      <w:r>
        <w:rPr>
          <w:lang w:val="fr_FR" w:bidi="fr_FR"/>
        </w:rPr>
      </w:r>
      <w:r>
        <w:rPr>
          <w:lang w:val="fr_FR" w:bidi="fr_FR"/>
        </w:rPr>
      </w:r>
    </w:p>
    <w:p>
      <w:pPr/>
      <w:r>
        <w:rPr>
          <w:lang w:val="fr_FR" w:bidi="fr_FR"/>
        </w:rPr>
      </w:r>
    </w:p>
    <w:p>
      <w:pPr>
        <w:pStyle w:val="Heading2"/>
      </w:pPr>
      <w:r>
        <w:rPr>
          <w:lang w:val="fr_FR" w:bidi="fr_FR"/>
        </w:rPr>
        <w:t>Néron</w:t>
      </w:r>
      <w:r>
        <w:rPr>
          <w:lang w:val="fr_FR" w:bidi="fr_FR"/>
        </w:rPr>
      </w:r>
    </w:p>
    <w:p>
      <w:pPr/>
      <w:r>
        <w:rPr>
          <w:lang w:val="fr_FR" w:bidi="fr_FR"/>
        </w:rPr>
      </w:r>
      <w:r>
        <w:rPr>
          <w:lang w:val="fr_FR" w:bidi="fr_FR"/>
        </w:rPr>
        <w:t>Néron est devenu empereur de Rome en 54 apr. J.‑C., à l’âge de 17 ans, après que sa mère a empoisonné son mari, l’empereur Claude. Néron aimait attirer l’attention. Il était connu pour son comportement immoral et ses dépenses excessives. Au cours des premières années de son règne, il a eu deux conseillers qui administraient bien l’empire :</w:t>
      </w:r>
    </w:p>
    <w:p>
      <w:pPr>
        <w:pStyle w:val="ListBullet"/>
        <w:spacing w:line="240" w:lineRule="auto"/>
        <w:ind w:left="720"/>
      </w:pPr>
      <w:r>
        <w:rPr>
          <w:lang w:val="fr_FR" w:bidi="fr_FR"/>
        </w:rPr>
      </w:r>
      <w:r>
        <w:rPr>
          <w:lang w:val="fr_FR" w:bidi="fr_FR"/>
        </w:rPr>
        <w:t>Burrus était le préfet de la garde prétorienne (commandant des soldats d’élite de l’empereur).</w:t>
      </w:r>
    </w:p>
    <w:p>
      <w:pPr>
        <w:pStyle w:val="ListBullet"/>
        <w:spacing w:line="240" w:lineRule="auto"/>
        <w:ind w:left="720"/>
      </w:pPr>
      <w:r>
        <w:rPr>
          <w:lang w:val="fr_FR" w:bidi="fr_FR"/>
        </w:rPr>
      </w:r>
      <w:r>
        <w:rPr>
          <w:lang w:val="fr_FR" w:bidi="fr_FR"/>
        </w:rPr>
        <w:t>Sénèque était un philosophe célèbre adepte du stoïcisme, une philosophie qui met l’accent sur la raison, la maîtrise de soi et la vertu.</w:t>
      </w:r>
    </w:p>
    <w:p>
      <w:pPr/>
      <w:r>
        <w:rPr>
          <w:lang w:val="fr_FR" w:bidi="fr_FR"/>
        </w:rPr>
      </w:r>
      <w:r>
        <w:rPr>
          <w:lang w:val="fr_FR" w:bidi="fr_FR"/>
        </w:rPr>
        <w:t>Lorsque Paul a écrit aux Romains vers 57 apr. J.‑C., il les a exhortés à « se soumettre aux autorités supérieures », celles « instituées par Dieu » (</w:t>
      </w:r>
      <w:r>
        <w:rPr>
          <w:lang w:val="fr_FR" w:bidi="fr_FR"/>
        </w:rPr>
        <w:t>Rm 13.1</w:t>
      </w:r>
      <w:r>
        <w:rPr>
          <w:lang w:val="fr_FR" w:bidi="fr_FR"/>
        </w:rPr>
        <w:t>), à un moment où le caractère immoral de Néron était largement connu.</w:t>
      </w:r>
    </w:p>
    <w:p>
      <w:pPr/>
      <w:r>
        <w:rPr>
          <w:lang w:val="fr_FR" w:bidi="fr_FR"/>
        </w:rPr>
      </w:r>
      <w:r>
        <w:rPr>
          <w:lang w:val="fr_FR" w:bidi="fr_FR"/>
        </w:rPr>
        <w:t xml:space="preserve">Les pires actions de Néron ont eu lieu après avoir organisé le meurtre de sa mère en 59 après J.‑C. (la même année où Paul en a appelé à César, </w:t>
      </w:r>
      <w:r>
        <w:rPr>
          <w:lang w:val="fr_FR" w:bidi="fr_FR"/>
        </w:rPr>
        <w:t>Ac 25.11</w:t>
      </w:r>
      <w:r>
        <w:rPr>
          <w:lang w:val="fr_FR" w:bidi="fr_FR"/>
        </w:rPr>
        <w:t xml:space="preserve">). En 62 apr. J.‑C., il a banni puis exécuté sa femme, épousé sa maîtresse et il a forcé Burrus et Sénèque à prendre leur retraite. En 64 apr. J.‑C., un incendie a détruit une grande partie de Rome. À l’époque, Néron était absent de la ville, mais beaucoup croyaient à la rumeur selon laquelle il avait lui-même causé l’incendie. Néron accusa les chrétiens, les tenant responsables du sinistre. Les habitants les percevaient comme hostiles à la société et estimaient qu’ils méritaient une punition, bien que peu croyaient qu’ils étaient responsables de l’incendie. Ils furent « condamnés non tant pour incendie criminel que pour haine du genre humain » (Tacite, </w:t>
      </w:r>
      <w:r>
        <w:rPr>
          <w:i/>
          <w:lang w:val="fr_FR" w:bidi="fr_FR"/>
        </w:rPr>
        <w:t>Annales</w:t>
      </w:r>
      <w:r>
        <w:rPr>
          <w:lang w:val="fr_FR" w:bidi="fr_FR"/>
        </w:rPr>
        <w:t xml:space="preserve"> 15.44). La persécution des chrétiens à Rome a été sévère ; il est probable que Pierre et Paul ont été exécutés à Rome durant cette période.</w:t>
      </w:r>
    </w:p>
    <w:p>
      <w:pPr/>
      <w:r>
        <w:rPr>
          <w:lang w:val="fr_FR" w:bidi="fr_FR"/>
        </w:rPr>
      </w:r>
      <w:r>
        <w:rPr>
          <w:lang w:val="fr_FR" w:bidi="fr_FR"/>
        </w:rPr>
        <w:t xml:space="preserve">En l’an 66 apr. J.‑C., une révolte juive a éclaté à Césarée. Néron a envoyé son général Vespasien réprimer la révolte. Néron montrait peu d’intérêt pour le gouvernement et a passé deux ans à participer à des spectacles en Grèce. Il a laissé le gouvernement à un préfet romain. À son retour à Rome, les gouverneurs postés en France, en Espagne et en Afrique se sont opposés à lui. Suite à cela, Néron s’est suicidé en 68 apr. J.‑C., en disant : « Quel artiste meurt avec moi ! » Il a été le dernier et le pire des empereurs de la lignée de Jules César (voir aussi les notes d’étude des versets </w:t>
      </w:r>
      <w:r>
        <w:rPr>
          <w:lang w:val="fr_FR" w:bidi="fr_FR"/>
        </w:rPr>
        <w:t>Ap 13.3</w:t>
      </w:r>
      <w:r>
        <w:rPr>
          <w:lang w:val="fr_FR" w:bidi="fr_FR"/>
        </w:rPr>
        <w:t xml:space="preserve">, </w:t>
      </w:r>
      <w:r>
        <w:rPr>
          <w:lang w:val="fr_FR" w:bidi="fr_FR"/>
        </w:rPr>
        <w:t>11</w:t>
      </w:r>
      <w:r>
        <w:rPr>
          <w:lang w:val="fr_FR" w:bidi="fr_FR"/>
        </w:rPr>
        <w:t xml:space="preserve">, </w:t>
      </w:r>
      <w:r>
        <w:rPr>
          <w:lang w:val="fr_FR" w:bidi="fr_FR"/>
        </w:rPr>
        <w:t>18</w:t>
      </w:r>
      <w:r>
        <w:rPr>
          <w:lang w:val="fr_FR" w:bidi="fr_FR"/>
        </w:rPr>
        <w:t xml:space="preserve"> ; </w:t>
      </w:r>
      <w:r>
        <w:rPr>
          <w:lang w:val="fr_FR" w:bidi="fr_FR"/>
        </w:rPr>
        <w:t>17.8</w:t>
      </w:r>
      <w:r>
        <w:rPr>
          <w:lang w:val="fr_FR" w:bidi="fr_FR"/>
        </w:rPr>
        <w:t xml:space="preserve">, </w:t>
      </w:r>
      <w:r>
        <w:rPr>
          <w:lang w:val="fr_FR" w:bidi="fr_FR"/>
        </w:rPr>
        <w:t>10–11</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Rm 13.1–7</w:t>
      </w:r>
      <w:r>
        <w:rPr>
          <w:lang w:val="fr_FR" w:bidi="fr_FR"/>
        </w:rPr>
      </w:r>
      <w:r>
        <w:rPr>
          <w:lang w:val="fr_FR" w:bidi="fr_FR"/>
        </w:rPr>
      </w:r>
    </w:p>
    <w:p>
      <w:pPr/>
      <w:r>
        <w:rPr>
          <w:lang w:val="fr_FR" w:bidi="fr_FR"/>
        </w:rPr>
      </w:r>
    </w:p>
    <w:p>
      <w:pPr>
        <w:pStyle w:val="Heading2"/>
      </w:pPr>
      <w:r>
        <w:rPr>
          <w:lang w:val="fr_FR" w:bidi="fr_FR"/>
        </w:rPr>
        <w:t>Nicodème</w:t>
      </w:r>
      <w:r>
        <w:rPr>
          <w:lang w:val="fr_FR" w:bidi="fr_FR"/>
        </w:rPr>
      </w:r>
    </w:p>
    <w:p>
      <w:pPr/>
      <w:r>
        <w:rPr>
          <w:lang w:val="fr_FR" w:bidi="fr_FR"/>
        </w:rPr>
      </w:r>
      <w:r>
        <w:rPr>
          <w:lang w:val="fr_FR" w:bidi="fr_FR"/>
        </w:rPr>
        <w:t>Nicodème était un pharisien juif respecté (</w:t>
      </w:r>
      <w:r>
        <w:rPr>
          <w:lang w:val="fr_FR" w:bidi="fr_FR"/>
        </w:rPr>
        <w:t>Jn 3.1</w:t>
      </w:r>
      <w:r>
        <w:rPr>
          <w:lang w:val="fr_FR" w:bidi="fr_FR"/>
        </w:rPr>
        <w:t>) et un membre éminent du grand conseil. Il semble qu’il soit devenu un disciple de Jésus. L’Évangile de Jean est le seul endroit où il est mentionné.</w:t>
      </w:r>
    </w:p>
    <w:p>
      <w:pPr/>
      <w:r>
        <w:rPr>
          <w:lang w:val="fr_FR" w:bidi="fr_FR"/>
        </w:rPr>
      </w:r>
      <w:r>
        <w:rPr>
          <w:lang w:val="fr_FR" w:bidi="fr_FR"/>
        </w:rPr>
        <w:t>Nicodème était curieux de l’autorité et des miracles de Jésus. Il a donc rendu visite à Jésus en secret la nuit pour en apprendre davantage sur lui. Jésus lui a dit qu’il devait naître de nouveau pour entrer dans le royaume de Dieu (</w:t>
      </w:r>
      <w:r>
        <w:rPr>
          <w:lang w:val="fr_FR" w:bidi="fr_FR"/>
        </w:rPr>
        <w:t>Jn 3.1–8</w:t>
      </w:r>
      <w:r>
        <w:rPr>
          <w:lang w:val="fr_FR" w:bidi="fr_FR"/>
        </w:rPr>
        <w:t>). L’Évangile ne nous révèle toutefois pas la réponse de Nicodème.</w:t>
      </w:r>
    </w:p>
    <w:p>
      <w:pPr/>
      <w:r>
        <w:rPr>
          <w:lang w:val="fr_FR" w:bidi="fr_FR"/>
        </w:rPr>
      </w:r>
      <w:r>
        <w:rPr>
          <w:lang w:val="fr_FR" w:bidi="fr_FR"/>
        </w:rPr>
        <w:t>Plus tard, contrairement à ses collègues du Sanhédrin, Nicodème a fermement défendu l’idée que Jésus méritait un procès équitable (</w:t>
      </w:r>
      <w:r>
        <w:rPr>
          <w:lang w:val="fr_FR" w:bidi="fr_FR"/>
        </w:rPr>
        <w:t>Jn 7.50–51</w:t>
      </w:r>
      <w:r>
        <w:rPr>
          <w:lang w:val="fr_FR" w:bidi="fr_FR"/>
        </w:rPr>
        <w:t>). Après la crucifixion de Jésus, il a acheté soixante-quinze livres de parfum coûteux pour l’enterrement. Il les a apportés au tombeau et a aidé Joseph d’Arimathée à enterrer Jésus (</w:t>
      </w:r>
      <w:r>
        <w:rPr>
          <w:lang w:val="fr_FR" w:bidi="fr_FR"/>
        </w:rPr>
        <w:t>Jn 19.39–42</w:t>
      </w:r>
      <w:r>
        <w:rPr>
          <w:lang w:val="fr_FR" w:bidi="fr_FR"/>
        </w:rPr>
        <w:t>). Ainsi, Nicodème semble avoir été un pharisien qui croyait en Jésus et était prêt à montrer publiquement son engagement après la mort de celui-ci.</w:t>
      </w:r>
    </w:p>
    <w:p>
      <w:pPr/>
      <w:r>
        <w:rPr>
          <w:lang w:val="fr_FR" w:bidi="fr_FR"/>
        </w:rPr>
      </w:r>
      <w:r>
        <w:rPr>
          <w:u w:val="single"/>
          <w:lang w:val="fr_FR" w:bidi="fr_FR"/>
        </w:rPr>
        <w:t>Passages pour une étude approfondie</w:t>
      </w:r>
    </w:p>
    <w:p>
      <w:pPr/>
      <w:r>
        <w:rPr>
          <w:lang w:val="fr_FR" w:bidi="fr_FR"/>
        </w:rPr>
      </w:r>
      <w:r>
        <w:rPr>
          <w:lang w:val="fr_FR" w:bidi="fr_FR"/>
        </w:rPr>
        <w:t>Jn 3.1–9</w:t>
      </w:r>
      <w:r>
        <w:rPr>
          <w:lang w:val="fr_FR" w:bidi="fr_FR"/>
        </w:rPr>
        <w:t xml:space="preserve"> ; </w:t>
      </w:r>
      <w:r>
        <w:rPr>
          <w:lang w:val="fr_FR" w:bidi="fr_FR"/>
        </w:rPr>
        <w:t>7.50</w:t>
      </w:r>
      <w:r>
        <w:rPr>
          <w:lang w:val="fr_FR" w:bidi="fr_FR"/>
        </w:rPr>
        <w:t xml:space="preserve"> ; </w:t>
      </w:r>
      <w:r>
        <w:rPr>
          <w:lang w:val="fr_FR" w:bidi="fr_FR"/>
        </w:rPr>
        <w:t>19.39–42</w:t>
      </w:r>
      <w:r>
        <w:rPr>
          <w:lang w:val="fr_FR" w:bidi="fr_FR"/>
        </w:rPr>
      </w:r>
      <w:r>
        <w:rPr>
          <w:lang w:val="fr_FR" w:bidi="fr_FR"/>
        </w:rPr>
      </w:r>
    </w:p>
    <w:p>
      <w:pPr/>
      <w:r>
        <w:rPr>
          <w:lang w:val="fr_FR" w:bidi="fr_FR"/>
        </w:rPr>
      </w:r>
    </w:p>
    <w:p>
      <w:pPr>
        <w:pStyle w:val="Heading2"/>
      </w:pPr>
      <w:r>
        <w:rPr>
          <w:lang w:val="fr_FR" w:bidi="fr_FR"/>
        </w:rPr>
        <w:t>Noé</w:t>
      </w:r>
      <w:r>
        <w:rPr>
          <w:lang w:val="fr_FR" w:bidi="fr_FR"/>
        </w:rPr>
      </w:r>
    </w:p>
    <w:p>
      <w:pPr/>
      <w:r>
        <w:rPr>
          <w:lang w:val="fr_FR" w:bidi="fr_FR"/>
        </w:rPr>
      </w:r>
      <w:r>
        <w:rPr>
          <w:lang w:val="fr_FR" w:bidi="fr_FR"/>
        </w:rPr>
        <w:t>Noé était le fils de Lémec et un descendant de Seth (</w:t>
      </w:r>
      <w:r>
        <w:rPr>
          <w:lang w:val="fr_FR" w:bidi="fr_FR"/>
        </w:rPr>
        <w:t>Gn 5.3–29</w:t>
      </w:r>
      <w:r>
        <w:rPr>
          <w:lang w:val="fr_FR" w:bidi="fr_FR"/>
        </w:rPr>
        <w:t>). Lémec espérait peut-être que Noé, dont le nom signifie « repos » ou « soulagement », viendrait alléger la malédiction de la pénibilité du travail sur la terre. Cependant, Dieu a choisi Noé pour contribuer à éradiquer le mal dans le monde.</w:t>
      </w:r>
    </w:p>
    <w:p>
      <w:pPr/>
      <w:r>
        <w:rPr>
          <w:lang w:val="fr_FR" w:bidi="fr_FR"/>
        </w:rPr>
      </w:r>
      <w:r>
        <w:rPr>
          <w:lang w:val="fr_FR" w:bidi="fr_FR"/>
        </w:rPr>
        <w:t>Dieu avait prévu de détruire la création en raison de la méchanceté humaine généralisée (</w:t>
      </w:r>
      <w:r>
        <w:rPr>
          <w:lang w:val="fr_FR" w:bidi="fr_FR"/>
        </w:rPr>
        <w:t>Gn 6.1–7</w:t>
      </w:r>
      <w:r>
        <w:rPr>
          <w:lang w:val="fr_FR" w:bidi="fr_FR"/>
        </w:rPr>
        <w:t xml:space="preserve"> ; voir </w:t>
      </w:r>
      <w:r>
        <w:rPr>
          <w:lang w:val="fr_FR" w:bidi="fr_FR"/>
        </w:rPr>
        <w:t>Mt 24.37–39</w:t>
      </w:r>
      <w:r>
        <w:rPr>
          <w:lang w:val="fr_FR" w:bidi="fr_FR"/>
        </w:rPr>
        <w:t xml:space="preserve"> ; </w:t>
      </w:r>
      <w:r>
        <w:rPr>
          <w:lang w:val="fr_FR" w:bidi="fr_FR"/>
        </w:rPr>
        <w:t>Lc 17.26–27</w:t>
      </w:r>
      <w:r>
        <w:rPr>
          <w:lang w:val="fr_FR" w:bidi="fr_FR"/>
        </w:rPr>
        <w:t>), mais il a choisi de sauver Noé (</w:t>
      </w:r>
      <w:r>
        <w:rPr>
          <w:lang w:val="fr_FR" w:bidi="fr_FR"/>
        </w:rPr>
        <w:t>Gn 6.8</w:t>
      </w:r>
      <w:r>
        <w:rPr>
          <w:lang w:val="fr_FR" w:bidi="fr_FR"/>
        </w:rPr>
        <w:t>). Dieu a donné à Noé, qui était juste et intègre (</w:t>
      </w:r>
      <w:r>
        <w:rPr>
          <w:lang w:val="fr_FR" w:bidi="fr_FR"/>
        </w:rPr>
        <w:t>Gn 6.9</w:t>
      </w:r>
      <w:r>
        <w:rPr>
          <w:lang w:val="fr_FR" w:bidi="fr_FR"/>
        </w:rPr>
        <w:t>), des instructions détaillées pour construire l’arche. Seuls les huit membres de la famille de Noé et chaque espèce de créature seraient sauvées (</w:t>
      </w:r>
      <w:r>
        <w:rPr>
          <w:lang w:val="fr_FR" w:bidi="fr_FR"/>
        </w:rPr>
        <w:t>Gn 6.14–8.19</w:t>
      </w:r>
      <w:r>
        <w:rPr>
          <w:lang w:val="fr_FR" w:bidi="fr_FR"/>
        </w:rPr>
        <w:t>). Après le déluge, Noé et sa famille ont quitté l’arche. Noé a plu à Dieu lorsqu’il a construit un autel et offert des sacrifices. Dieu a promis de ne plus jamais submerger la terre entière ni de bouleverser les saisons, malgré le péché des humains (</w:t>
      </w:r>
      <w:r>
        <w:rPr>
          <w:lang w:val="fr_FR" w:bidi="fr_FR"/>
        </w:rPr>
        <w:t>Gn 8.20–9.17</w:t>
      </w:r>
      <w:r>
        <w:rPr>
          <w:lang w:val="fr_FR" w:bidi="fr_FR"/>
        </w:rPr>
        <w:t>).</w:t>
      </w:r>
    </w:p>
    <w:p>
      <w:pPr/>
      <w:r>
        <w:rPr>
          <w:lang w:val="fr_FR" w:bidi="fr_FR"/>
        </w:rPr>
      </w:r>
      <w:r>
        <w:rPr>
          <w:lang w:val="fr_FR" w:bidi="fr_FR"/>
        </w:rPr>
        <w:t>Les fils de Noé étaient Sem, Cham et Japhet. Toutes les nations de la terre descendent d’eux (</w:t>
      </w:r>
      <w:r>
        <w:rPr>
          <w:lang w:val="fr_FR" w:bidi="fr_FR"/>
        </w:rPr>
        <w:t>Gn 9.18–19</w:t>
      </w:r>
      <w:r>
        <w:rPr>
          <w:lang w:val="fr_FR" w:bidi="fr_FR"/>
        </w:rPr>
        <w:t>). Lorsque Noé s’est enivré du vin qu’il avait produit, ses fils et leurs descendants ont été soit maudits, soit bénis selon leur comportement envers lui (</w:t>
      </w:r>
      <w:r>
        <w:rPr>
          <w:lang w:val="fr_FR" w:bidi="fr_FR"/>
        </w:rPr>
        <w:t>Gn 9.20–27</w:t>
      </w:r>
      <w:r>
        <w:rPr>
          <w:lang w:val="fr_FR" w:bidi="fr_FR"/>
        </w:rPr>
        <w:t>). Noé a vécu 950 ans, dont 350 ans après le déluge (</w:t>
      </w:r>
      <w:r>
        <w:rPr>
          <w:lang w:val="fr_FR" w:bidi="fr_FR"/>
        </w:rPr>
        <w:t>Gn 9.28–29</w:t>
      </w:r>
      <w:r>
        <w:rPr>
          <w:lang w:val="fr_FR" w:bidi="fr_FR"/>
        </w:rPr>
        <w:t xml:space="preserve">). C’est un exemple de droiture, d’obéissance, de courage et de foi (voir </w:t>
      </w:r>
      <w:r>
        <w:rPr>
          <w:lang w:val="fr_FR" w:bidi="fr_FR"/>
        </w:rPr>
        <w:t>Ez 14.12–20</w:t>
      </w:r>
      <w:r>
        <w:rPr>
          <w:lang w:val="fr_FR" w:bidi="fr_FR"/>
        </w:rPr>
        <w:t xml:space="preserve"> ; </w:t>
      </w:r>
      <w:r>
        <w:rPr>
          <w:lang w:val="fr_FR" w:bidi="fr_FR"/>
        </w:rPr>
        <w:t>Hé 11.7</w:t>
      </w:r>
      <w:r>
        <w:rPr>
          <w:lang w:val="fr_FR" w:bidi="fr_FR"/>
        </w:rPr>
        <w:t xml:space="preserve"> ; </w:t>
      </w:r>
      <w:r>
        <w:rPr>
          <w:lang w:val="fr_FR" w:bidi="fr_FR"/>
        </w:rPr>
        <w:t>2P 2.5</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Gn 5.28–10.1</w:t>
      </w:r>
      <w:r>
        <w:rPr>
          <w:lang w:val="fr_FR" w:bidi="fr_FR"/>
        </w:rPr>
        <w:t xml:space="preserve"> ; </w:t>
      </w:r>
      <w:r>
        <w:rPr>
          <w:lang w:val="fr_FR" w:bidi="fr_FR"/>
        </w:rPr>
        <w:t>1 Ch 1.4</w:t>
      </w:r>
      <w:r>
        <w:rPr>
          <w:lang w:val="fr_FR" w:bidi="fr_FR"/>
        </w:rPr>
        <w:t xml:space="preserve"> ; </w:t>
      </w:r>
      <w:r>
        <w:rPr>
          <w:lang w:val="fr_FR" w:bidi="fr_FR"/>
        </w:rPr>
        <w:t>Es 54.9</w:t>
      </w:r>
      <w:r>
        <w:rPr>
          <w:lang w:val="fr_FR" w:bidi="fr_FR"/>
        </w:rPr>
        <w:t xml:space="preserve"> ; </w:t>
      </w:r>
      <w:r>
        <w:rPr>
          <w:lang w:val="fr_FR" w:bidi="fr_FR"/>
        </w:rPr>
        <w:t>Ez 14.12–20</w:t>
      </w:r>
      <w:r>
        <w:rPr>
          <w:lang w:val="fr_FR" w:bidi="fr_FR"/>
        </w:rPr>
        <w:t xml:space="preserve"> ; </w:t>
      </w:r>
      <w:r>
        <w:rPr>
          <w:lang w:val="fr_FR" w:bidi="fr_FR"/>
        </w:rPr>
        <w:t>Mt 24.37–38</w:t>
      </w:r>
      <w:r>
        <w:rPr>
          <w:lang w:val="fr_FR" w:bidi="fr_FR"/>
        </w:rPr>
        <w:t xml:space="preserve"> ; </w:t>
      </w:r>
      <w:r>
        <w:rPr>
          <w:lang w:val="fr_FR" w:bidi="fr_FR"/>
        </w:rPr>
        <w:t>Lc 3.36</w:t>
      </w:r>
      <w:r>
        <w:rPr>
          <w:lang w:val="fr_FR" w:bidi="fr_FR"/>
        </w:rPr>
        <w:t xml:space="preserve"> ; </w:t>
      </w:r>
      <w:r>
        <w:rPr>
          <w:lang w:val="fr_FR" w:bidi="fr_FR"/>
        </w:rPr>
        <w:t>Lc 17.26–27</w:t>
      </w:r>
      <w:r>
        <w:rPr>
          <w:lang w:val="fr_FR" w:bidi="fr_FR"/>
        </w:rPr>
        <w:t xml:space="preserve"> ; </w:t>
      </w:r>
      <w:r>
        <w:rPr>
          <w:lang w:val="fr_FR" w:bidi="fr_FR"/>
        </w:rPr>
        <w:t>Hé 11.7</w:t>
      </w:r>
      <w:r>
        <w:rPr>
          <w:lang w:val="fr_FR" w:bidi="fr_FR"/>
        </w:rPr>
        <w:t xml:space="preserve"> ; </w:t>
      </w:r>
      <w:r>
        <w:rPr>
          <w:lang w:val="fr_FR" w:bidi="fr_FR"/>
        </w:rPr>
        <w:t>1P 3.20–21</w:t>
      </w:r>
      <w:r>
        <w:rPr>
          <w:lang w:val="fr_FR" w:bidi="fr_FR"/>
        </w:rPr>
        <w:t xml:space="preserve"> ; </w:t>
      </w:r>
      <w:r>
        <w:rPr>
          <w:lang w:val="fr_FR" w:bidi="fr_FR"/>
        </w:rPr>
        <w:t>2P 2.5</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