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Babilonia</w:t>
      </w:r>
      <w:r>
        <w:rPr>
          <w:lang w:val="es_ES" w:bidi="es_ES"/>
        </w:rPr>
      </w:r>
    </w:p>
    <w:p>
      <w:pPr/>
      <w:r>
        <w:rPr>
          <w:lang w:val="es_ES" w:bidi="es_ES"/>
        </w:rPr>
      </w:r>
      <w:r>
        <w:rPr>
          <w:lang w:val="es_ES" w:bidi="es_ES"/>
        </w:rPr>
        <w:t>Babilonia, una de las ciudades más antiguas del mundo, fue el centro de la civilización babilónica. A menudo se utiliza como símbolo del desafiante orgullo humano.</w:t>
      </w:r>
    </w:p>
    <w:p>
      <w:pPr/>
      <w:r>
        <w:rPr>
          <w:lang w:val="es_ES" w:bidi="es_ES"/>
        </w:rPr>
      </w:r>
      <w:r>
        <w:rPr>
          <w:lang w:val="es_ES" w:bidi="es_ES"/>
        </w:rPr>
        <w:t>Nimrod fundó Babilonia algunas generaciones después del diluvio (</w:t>
      </w:r>
      <w:r>
        <w:rPr>
          <w:lang w:val="es_ES" w:bidi="es_ES"/>
        </w:rPr>
        <w:t>Génesis 10.8–10</w:t>
      </w:r>
      <w:r>
        <w:rPr>
          <w:lang w:val="es_ES" w:bidi="es_ES"/>
        </w:rPr>
        <w:t>). Fue uno de los primeros gobernantes poderosos de la historia. El nombre Babilonia proviene de Babel, que significa "puerta de Dios" en el idioma babilónico. Babilonia fue probablemente el lugar donde se erigió la torre de Babel (</w:t>
      </w:r>
      <w:r>
        <w:rPr>
          <w:lang w:val="es_ES" w:bidi="es_ES"/>
        </w:rPr>
        <w:t>Génesis 11.1–9</w:t>
      </w:r>
      <w:r>
        <w:rPr>
          <w:lang w:val="es_ES" w:bidi="es_ES"/>
        </w:rPr>
        <w:t>). Esta torre fue un intento temprano de la humanidad por crear una identidad separada del Creador. Abram y su familia dejaron esta orgullosa civilización cuando viajaron desde Ur de los Caldeos alrededor del año 2000 a.C. Aunque muchos reinos gobernaron Babilonia a lo largo de los siglos, la ciudad continuó siendo un líder cultural y religioso.</w:t>
      </w:r>
    </w:p>
    <w:p>
      <w:pPr>
        <w:pStyle w:val="Heading4"/>
      </w:pPr>
      <w:r>
        <w:rPr>
          <w:lang w:val="es_ES" w:bidi="es_ES"/>
        </w:rPr>
        <w:t>Civilización Sumeria (3200–2000 a.C.)</w:t>
      </w:r>
    </w:p>
    <w:p>
      <w:pPr/>
      <w:r>
        <w:rPr>
          <w:lang w:val="es_ES" w:bidi="es_ES"/>
        </w:rPr>
      </w:r>
      <w:r>
        <w:rPr>
          <w:lang w:val="es_ES" w:bidi="es_ES"/>
        </w:rPr>
        <w:t>La primera gran civilización en Babilonia fue Sumeria, ubicada en el sur de Babilonia. Los Sumerios crearon la escritura cuneiforme, que fue utilizada por las culturas mesopotámicas durante tres mil años.</w:t>
      </w:r>
    </w:p>
    <w:p>
      <w:pPr>
        <w:pStyle w:val="Heading4"/>
      </w:pPr>
      <w:r>
        <w:rPr>
          <w:lang w:val="es_ES" w:bidi="es_ES"/>
        </w:rPr>
        <w:t>El Imperio Acadio (2334–2154 a.C.)</w:t>
      </w:r>
    </w:p>
    <w:p>
      <w:pPr/>
      <w:r>
        <w:rPr>
          <w:lang w:val="es_ES" w:bidi="es_ES"/>
        </w:rPr>
      </w:r>
      <w:r>
        <w:rPr>
          <w:lang w:val="es_ES" w:bidi="es_ES"/>
        </w:rPr>
        <w:t>Al norte de Babilonia, el rey Sargón I de Acad, quien gobernó desde 2339 hasta 2279 a.C., fundó la ciudad capital de Acad. Alcanzó el dominio político y cultural sobre Mesopotamia. El Imperio Acadio perduró casi dos siglos.</w:t>
      </w:r>
    </w:p>
    <w:p>
      <w:pPr>
        <w:pStyle w:val="Heading4"/>
      </w:pPr>
      <w:r>
        <w:rPr>
          <w:lang w:val="es_ES" w:bidi="es_ES"/>
        </w:rPr>
        <w:t>Primer Imperio Babilónico (1900–1600 a.C.)</w:t>
      </w:r>
    </w:p>
    <w:p>
      <w:pPr/>
      <w:r>
        <w:rPr>
          <w:lang w:val="es_ES" w:bidi="es_ES"/>
        </w:rPr>
      </w:r>
      <w:r>
        <w:rPr>
          <w:lang w:val="es_ES" w:bidi="es_ES"/>
        </w:rPr>
        <w:t xml:space="preserve">Durante el Imperio Acadio, nómadas de habla semítica provenientes de Siria, conocidos como Amurru o </w:t>
      </w:r>
      <w:r>
        <w:rPr>
          <w:lang w:val="es_ES" w:bidi="es_ES"/>
        </w:rPr>
        <w:t>Amorrheos</w:t>
      </w:r>
      <w:r>
        <w:rPr>
          <w:lang w:val="es_ES" w:bidi="es_ES"/>
        </w:rPr>
        <w:t xml:space="preserve">, migraron a Babilonia. Los babilonios urbanos los consideraban bárbaros. Eventualmente, los </w:t>
      </w:r>
      <w:r>
        <w:rPr>
          <w:lang w:val="es_ES" w:bidi="es_ES"/>
        </w:rPr>
        <w:t>Amorrheos</w:t>
      </w:r>
      <w:r>
        <w:rPr>
          <w:lang w:val="es_ES" w:bidi="es_ES"/>
        </w:rPr>
        <w:t xml:space="preserve"> establecieron un nuevo reino babilónico bajo su control. Hammurabi, el sexto rey de esa dinastía, gobernó desde 1792 hasta 1750 a.C. y expandió el reino significativamente. Sin embargo, la gloria de Babilonia fue efímera. Bajo el gobierno del hijo de Hammurabi, el reino declinó y solo duró otro siglo.</w:t>
      </w:r>
    </w:p>
    <w:p>
      <w:pPr>
        <w:pStyle w:val="Heading4"/>
      </w:pPr>
      <w:r>
        <w:rPr>
          <w:lang w:val="es_ES" w:bidi="es_ES"/>
        </w:rPr>
        <w:t>Dominio Asirio (900–614 a.C.)</w:t>
      </w:r>
    </w:p>
    <w:p>
      <w:pPr/>
      <w:r>
        <w:rPr>
          <w:lang w:val="es_ES" w:bidi="es_ES"/>
        </w:rPr>
      </w:r>
      <w:r>
        <w:rPr>
          <w:lang w:val="es_ES" w:bidi="es_ES"/>
        </w:rPr>
        <w:t xml:space="preserve">En 851 a.C., el rey Asirio Salmanasar III, quien gobernó desde 858 hasta 824 a.C., entró en Babilonia. Trató a la antigua ciudad con respeto y permitió que su rey permaneciera como vasallo. Aproximadamente 150 años después, alrededor de 705 a.C., un rey vasallo babilónico llamado </w:t>
      </w:r>
      <w:r>
        <w:rPr>
          <w:lang w:val="es_ES" w:bidi="es_ES"/>
        </w:rPr>
        <w:t>Merodachbaladán</w:t>
      </w:r>
      <w:r>
        <w:rPr>
          <w:lang w:val="es_ES" w:bidi="es_ES"/>
        </w:rPr>
        <w:t xml:space="preserve"> lideró una rebelión. Envió embajadores al rey </w:t>
      </w:r>
      <w:r>
        <w:rPr>
          <w:lang w:val="es_ES" w:bidi="es_ES"/>
        </w:rPr>
        <w:t>Ezechîas</w:t>
      </w:r>
      <w:r>
        <w:rPr>
          <w:lang w:val="es_ES" w:bidi="es_ES"/>
        </w:rPr>
        <w:t xml:space="preserve"> de Judá para obtener apoyo (ver </w:t>
      </w:r>
      <w:r>
        <w:rPr>
          <w:lang w:val="es_ES" w:bidi="es_ES"/>
        </w:rPr>
        <w:t>2 Reyes 20.12–19</w:t>
      </w:r>
      <w:r>
        <w:rPr>
          <w:lang w:val="es_ES" w:bidi="es_ES"/>
        </w:rPr>
        <w:t xml:space="preserve">; </w:t>
      </w:r>
      <w:r>
        <w:rPr>
          <w:lang w:val="es_ES" w:bidi="es_ES"/>
        </w:rPr>
        <w:t>Isaías 39</w:t>
      </w:r>
      <w:r>
        <w:rPr>
          <w:lang w:val="es_ES" w:bidi="es_ES"/>
        </w:rPr>
        <w:t>). Asiria rápidamente aplastó la rebelión de Merodachbaladán, y su dominio continuó por otro siglo.</w:t>
      </w:r>
    </w:p>
    <w:p>
      <w:pPr>
        <w:pStyle w:val="Heading4"/>
      </w:pPr>
      <w:r>
        <w:rPr>
          <w:lang w:val="es_ES" w:bidi="es_ES"/>
        </w:rPr>
        <w:t>Imperio Neobabilónico (612–539 a.C.)</w:t>
      </w:r>
    </w:p>
    <w:p>
      <w:pPr/>
      <w:r>
        <w:rPr>
          <w:lang w:val="es_ES" w:bidi="es_ES"/>
        </w:rPr>
      </w:r>
      <w:r>
        <w:rPr>
          <w:lang w:val="es_ES" w:bidi="es_ES"/>
        </w:rPr>
        <w:t xml:space="preserve">El príncipe caldeo Nabopolasar asumió el trono de Babilonia desde 625 hasta 605 a.C., poniendo fin al Imperio Asirio. Su hijo, Nabucodonosor II, gobernó desde 605 hasta 562 a.C. Bajo el liderazgo de Nabucodonosor, Babilonia se transformó en la potencia dominante del Cercano Oriente y en una ciudad de gran esplendor (ver </w:t>
      </w:r>
      <w:r>
        <w:rPr>
          <w:lang w:val="es_ES" w:bidi="es_ES"/>
        </w:rPr>
        <w:t>Daniel 1–4</w:t>
      </w:r>
      <w:r>
        <w:rPr>
          <w:lang w:val="es_ES" w:bidi="es_ES"/>
        </w:rPr>
        <w:t>).</w:t>
      </w:r>
    </w:p>
    <w:p>
      <w:pPr/>
      <w:r>
        <w:rPr>
          <w:lang w:val="es_ES" w:bidi="es_ES"/>
        </w:rPr>
      </w:r>
      <w:r>
        <w:rPr>
          <w:lang w:val="es_ES" w:bidi="es_ES"/>
        </w:rPr>
        <w:t xml:space="preserve">Tras la muerte de Nabucodonosor, Nabónido se convirtió en el siguiente rey de Babilonia. Nabónido había sido un alto funcionario del gobierno que colaboraba con otros reinos. Gobernó Babilonia aproximadamente desde el 555 a.C. hasta el 539 a.C. Sin embargo, descuidó Babilonia y perdió su apoyo. Cuando Ciro II de Persia, quien gobernó desde el 559 a.C. hasta el 530 a.C., atacó la ciudad en octubre del 539 a.C. (ver </w:t>
      </w:r>
      <w:r>
        <w:rPr>
          <w:lang w:val="es_ES" w:bidi="es_ES"/>
        </w:rPr>
        <w:t>Daniel 5.30–31</w:t>
      </w:r>
      <w:r>
        <w:rPr>
          <w:lang w:val="es_ES" w:bidi="es_ES"/>
        </w:rPr>
        <w:t xml:space="preserve"> y </w:t>
      </w:r>
      <w:r>
        <w:rPr>
          <w:lang w:val="es_ES" w:bidi="es_ES"/>
        </w:rPr>
        <w:t>nota de estudio sobre Daniel 5.31</w:t>
      </w:r>
      <w:r>
        <w:rPr>
          <w:lang w:val="es_ES" w:bidi="es_ES"/>
        </w:rPr>
        <w:t>), la ciudad se rindió sin librar una batalla. Esta rendición marcó el fin de la Babilonia independiente.</w:t>
      </w:r>
    </w:p>
    <w:p>
      <w:pPr>
        <w:pStyle w:val="Heading4"/>
      </w:pPr>
      <w:r>
        <w:rPr>
          <w:lang w:val="es_ES" w:bidi="es_ES"/>
        </w:rPr>
        <w:t>El enemigo simbólico del pueblo de Dios</w:t>
      </w:r>
    </w:p>
    <w:p>
      <w:pPr/>
      <w:r>
        <w:rPr>
          <w:lang w:val="es_ES" w:bidi="es_ES"/>
        </w:rPr>
      </w:r>
      <w:r>
        <w:rPr>
          <w:lang w:val="es_ES" w:bidi="es_ES"/>
        </w:rPr>
        <w:t>En 1 Pedro y Apocalipsis, Roma está representada por Babilonia. Roma es “Babilonia la Grande, la madre de las prostitutas y de las abominaciones de la tierra”, (</w:t>
      </w:r>
      <w:r>
        <w:rPr>
          <w:lang w:val="es_ES" w:bidi="es_ES"/>
        </w:rPr>
        <w:t>Apocalipsis 17.5</w:t>
      </w:r>
      <w:r>
        <w:rPr>
          <w:lang w:val="es_ES" w:bidi="es_ES"/>
        </w:rPr>
        <w:t>). Se presenta como un centro muy inmoral de riqueza y comercio, gobernando sobre los reyes de la tierra y persiguiendo al pueblo de Dios. Los reyes y comerciantes de la tierra lamentarán su caída (</w:t>
      </w:r>
      <w:r>
        <w:rPr>
          <w:lang w:val="es_ES" w:bidi="es_ES"/>
        </w:rPr>
        <w:t>Apocalipsis 18.9–19</w:t>
      </w:r>
      <w:r>
        <w:rPr>
          <w:lang w:val="es_ES" w:bidi="es_ES"/>
        </w:rPr>
        <w:t>). Pero el pueblo de Dios celebrará porque su opresión ha terminado y pueden adorar a Dios libremente.</w:t>
      </w:r>
    </w:p>
    <w:p>
      <w:pPr/>
      <w:r>
        <w:rPr>
          <w:lang w:val="es_ES" w:bidi="es_ES"/>
        </w:rPr>
      </w:r>
      <w:r>
        <w:rPr>
          <w:u w:val="single"/>
          <w:lang w:val="es_ES" w:bidi="es_ES"/>
        </w:rPr>
        <w:t>Pasajes para Estudio Complementario</w:t>
      </w:r>
    </w:p>
    <w:p>
      <w:pPr/>
      <w:r>
        <w:rPr>
          <w:lang w:val="es_ES" w:bidi="es_ES"/>
        </w:rPr>
      </w:r>
      <w:r>
        <w:rPr>
          <w:lang w:val="es_ES" w:bidi="es_ES"/>
        </w:rPr>
        <w:t>Génesis 10.8–9</w:t>
      </w:r>
      <w:r>
        <w:rPr>
          <w:lang w:val="es_ES" w:bidi="es_ES"/>
        </w:rPr>
        <w:t xml:space="preserve">; </w:t>
      </w:r>
      <w:r>
        <w:rPr>
          <w:lang w:val="es_ES" w:bidi="es_ES"/>
        </w:rPr>
        <w:t>11.1–9</w:t>
      </w:r>
      <w:r>
        <w:rPr>
          <w:lang w:val="es_ES" w:bidi="es_ES"/>
        </w:rPr>
        <w:t xml:space="preserve">; </w:t>
      </w:r>
      <w:r>
        <w:rPr>
          <w:lang w:val="es_ES" w:bidi="es_ES"/>
        </w:rPr>
        <w:t>2 Reyes 20.12–19</w:t>
      </w:r>
      <w:r>
        <w:rPr>
          <w:lang w:val="es_ES" w:bidi="es_ES"/>
        </w:rPr>
        <w:t xml:space="preserve">; </w:t>
      </w:r>
      <w:r>
        <w:rPr>
          <w:lang w:val="es_ES" w:bidi="es_ES"/>
        </w:rPr>
        <w:t>24.1–25.30</w:t>
      </w:r>
      <w:r>
        <w:rPr>
          <w:lang w:val="es_ES" w:bidi="es_ES"/>
        </w:rPr>
        <w:t xml:space="preserve">; </w:t>
      </w:r>
      <w:r>
        <w:rPr>
          <w:lang w:val="es_ES" w:bidi="es_ES"/>
        </w:rPr>
        <w:t>Isaías 39</w:t>
      </w:r>
      <w:r>
        <w:rPr>
          <w:lang w:val="es_ES" w:bidi="es_ES"/>
        </w:rPr>
        <w:t xml:space="preserve">; </w:t>
      </w:r>
      <w:r>
        <w:rPr>
          <w:lang w:val="es_ES" w:bidi="es_ES"/>
        </w:rPr>
        <w:t>Daniel 1–5</w:t>
      </w:r>
      <w:r>
        <w:rPr>
          <w:lang w:val="es_ES" w:bidi="es_ES"/>
        </w:rPr>
        <w:t xml:space="preserve">; </w:t>
      </w:r>
      <w:r>
        <w:rPr>
          <w:lang w:val="es_ES" w:bidi="es_ES"/>
        </w:rPr>
        <w:t>1 Pedro 5.13</w:t>
      </w:r>
      <w:r>
        <w:rPr>
          <w:lang w:val="es_ES" w:bidi="es_ES"/>
        </w:rPr>
        <w:t xml:space="preserve">; </w:t>
      </w:r>
      <w:r>
        <w:rPr>
          <w:lang w:val="es_ES" w:bidi="es_ES"/>
        </w:rPr>
        <w:t>Apocalipsis 14.8</w:t>
      </w:r>
      <w:r>
        <w:rPr>
          <w:lang w:val="es_ES" w:bidi="es_ES"/>
        </w:rPr>
        <w:t xml:space="preserve">; </w:t>
      </w:r>
      <w:r>
        <w:rPr>
          <w:lang w:val="es_ES" w:bidi="es_ES"/>
        </w:rPr>
        <w:t>16.19</w:t>
      </w:r>
      <w:r>
        <w:rPr>
          <w:lang w:val="es_ES" w:bidi="es_ES"/>
        </w:rPr>
        <w:t xml:space="preserve">; </w:t>
      </w:r>
      <w:r>
        <w:rPr>
          <w:lang w:val="es_ES" w:bidi="es_ES"/>
        </w:rPr>
        <w:t>17.5</w:t>
      </w:r>
      <w:r>
        <w:rPr>
          <w:lang w:val="es_ES" w:bidi="es_ES"/>
        </w:rPr>
        <w:t xml:space="preserve">; </w:t>
      </w:r>
      <w:r>
        <w:rPr>
          <w:lang w:val="es_ES" w:bidi="es_ES"/>
        </w:rPr>
        <w:t>18.2–21</w:t>
      </w:r>
      <w:r>
        <w:rPr>
          <w:lang w:val="es_ES" w:bidi="es_ES"/>
        </w:rPr>
        <w:t xml:space="preserve">; </w:t>
      </w:r>
      <w:r>
        <w:rPr>
          <w:lang w:val="es_ES" w:bidi="es_ES"/>
        </w:rPr>
        <w:t>19.2</w:t>
      </w:r>
      <w:r>
        <w:rPr>
          <w:lang w:val="es_ES" w:bidi="es_ES"/>
        </w:rPr>
      </w:r>
      <w:r>
        <w:rPr>
          <w:lang w:val="es_ES" w:bidi="es_ES"/>
        </w:rPr>
      </w:r>
    </w:p>
    <w:p>
      <w:pPr/>
      <w:r>
        <w:rPr>
          <w:lang w:val="es_ES" w:bidi="es_ES"/>
        </w:rPr>
      </w:r>
    </w:p>
    <w:p>
      <w:pPr>
        <w:pStyle w:val="Heading2"/>
      </w:pPr>
      <w:r>
        <w:rPr>
          <w:lang w:val="es_ES" w:bidi="es_ES"/>
        </w:rPr>
        <w:t>Balaam</w:t>
      </w:r>
      <w:r>
        <w:rPr>
          <w:lang w:val="es_ES" w:bidi="es_ES"/>
        </w:rPr>
      </w:r>
    </w:p>
    <w:p>
      <w:pPr/>
      <w:r>
        <w:rPr>
          <w:lang w:val="es_ES" w:bidi="es_ES"/>
        </w:rPr>
      </w:r>
      <w:r>
        <w:rPr>
          <w:lang w:val="es_ES" w:bidi="es_ES"/>
        </w:rPr>
        <w:t xml:space="preserve">Balaam era un adivino que interpretaba señales para predecir el futuro y realizaba rituales para modificarlo (ver </w:t>
      </w:r>
      <w:r>
        <w:rPr>
          <w:lang w:val="es_ES" w:bidi="es_ES"/>
        </w:rPr>
        <w:t>nota de estudio sobre Números 22.5–6</w:t>
      </w:r>
      <w:r>
        <w:rPr>
          <w:lang w:val="es_ES" w:bidi="es_ES"/>
        </w:rPr>
        <w:t xml:space="preserve">; comparar </w:t>
      </w:r>
      <w:r>
        <w:rPr>
          <w:lang w:val="es_ES" w:bidi="es_ES"/>
        </w:rPr>
        <w:t>Josué 13.22</w:t>
      </w:r>
      <w:r>
        <w:rPr>
          <w:lang w:val="es_ES" w:bidi="es_ES"/>
        </w:rPr>
        <w:t>). Trabajaba por dinero, así que cuando Balac, el rey de Moab, quiso contratarlo para maldecir a Israel, estaba ansioso por comenzar. Incluso cuando Dios le dijo que no fuera, esperaba que Dios cambiara de opinión porque estaba muy interesado en el dinero (</w:t>
      </w:r>
      <w:r>
        <w:rPr>
          <w:lang w:val="es_ES" w:bidi="es_ES"/>
        </w:rPr>
        <w:t>2 Pedro 2.15</w:t>
      </w:r>
      <w:r>
        <w:rPr>
          <w:lang w:val="es_ES" w:bidi="es_ES"/>
        </w:rPr>
        <w:t>).</w:t>
      </w:r>
    </w:p>
    <w:p>
      <w:pPr/>
      <w:r>
        <w:rPr>
          <w:lang w:val="es_ES" w:bidi="es_ES"/>
        </w:rPr>
      </w:r>
      <w:r>
        <w:rPr>
          <w:lang w:val="es_ES" w:bidi="es_ES"/>
        </w:rPr>
        <w:t>Finalmente, Dios permitió que Balaam fuera, pero solo si Balaam aceptaba decir lo que Dios le instruyera, con el objetivo de frustrar los planes de Balac (</w:t>
      </w:r>
      <w:r>
        <w:rPr>
          <w:lang w:val="es_ES" w:bidi="es_ES"/>
        </w:rPr>
        <w:t>Deuteronomio 23.4–5</w:t>
      </w:r>
      <w:r>
        <w:rPr>
          <w:lang w:val="es_ES" w:bidi="es_ES"/>
        </w:rPr>
        <w:t>). En el camino, el burro de Balaam se detuvo y se negó a avanzar porque el Ángel del Señor bloqueaba el camino. El burro podía ver al Ángel, pero Balaam no. A pesar de esto, Balaam, sabiamente, eligió no maldecir a los israelitas cuando Dios le dijo que los bendijera. Para gran frustración de Balac, bendecirlos fue lo único que Balaam pudo hacer.</w:t>
      </w:r>
    </w:p>
    <w:p>
      <w:pPr/>
      <w:r>
        <w:rPr>
          <w:lang w:val="es_ES" w:bidi="es_ES"/>
        </w:rPr>
      </w:r>
      <w:r>
        <w:rPr>
          <w:lang w:val="es_ES" w:bidi="es_ES"/>
        </w:rPr>
        <w:t xml:space="preserve">Recientemente, se descubrió una inscripción que menciona a Balaam, hijo de Beor, un adivino que tenía visiones nocturnas (ver </w:t>
      </w:r>
      <w:r>
        <w:rPr>
          <w:lang w:val="es_ES" w:bidi="es_ES"/>
        </w:rPr>
        <w:t>Números 22.9–12</w:t>
      </w:r>
      <w:r>
        <w:rPr>
          <w:lang w:val="es_ES" w:bidi="es_ES"/>
        </w:rPr>
        <w:t xml:space="preserve">, </w:t>
      </w:r>
      <w:r>
        <w:rPr>
          <w:lang w:val="es_ES" w:bidi="es_ES"/>
        </w:rPr>
        <w:t>20</w:t>
      </w:r>
      <w:r>
        <w:rPr>
          <w:lang w:val="es_ES" w:bidi="es_ES"/>
        </w:rPr>
        <w:t xml:space="preserve">). La inscripción fue escrita en una pared de yeso en Deir ‘Alla, a ocho millas al este del Río Jordán, cerca del lugar donde los hebreos acamparon durante el incidente de Balaam. Este texto no bíblico, fechado entre 800 y 750 a.C., identifica a Balaam como un “vidente de los dioses.” Indica que los dioses, cuyos nombres en la inscripción se asemejan a </w:t>
      </w:r>
      <w:r>
        <w:rPr>
          <w:i/>
          <w:lang w:val="es_ES" w:bidi="es_ES"/>
        </w:rPr>
        <w:t>Shaddai</w:t>
      </w:r>
      <w:r>
        <w:rPr>
          <w:lang w:val="es_ES" w:bidi="es_ES"/>
        </w:rPr>
        <w:t xml:space="preserve"> (“Todopoderoso”; ver </w:t>
      </w:r>
      <w:r>
        <w:rPr>
          <w:lang w:val="es_ES" w:bidi="es_ES"/>
        </w:rPr>
        <w:t>Números 24.4</w:t>
      </w:r>
      <w:r>
        <w:rPr>
          <w:lang w:val="es_ES" w:bidi="es_ES"/>
        </w:rPr>
        <w:t xml:space="preserve">, </w:t>
      </w:r>
      <w:r>
        <w:rPr>
          <w:lang w:val="es_ES" w:bidi="es_ES"/>
        </w:rPr>
        <w:t>16</w:t>
      </w:r>
      <w:r>
        <w:rPr>
          <w:lang w:val="es_ES" w:bidi="es_ES"/>
        </w:rPr>
        <w:t xml:space="preserve">), le dieron a Balaam un mensaje y anunciaron juicio sobre el mundo (ver </w:t>
      </w:r>
      <w:r>
        <w:rPr>
          <w:lang w:val="es_ES" w:bidi="es_ES"/>
        </w:rPr>
        <w:t>Números 24.15–25</w:t>
      </w:r>
      <w:r>
        <w:rPr>
          <w:lang w:val="es_ES" w:bidi="es_ES"/>
        </w:rPr>
        <w:t>). La inscripción proporciona una rara evidencia externa a la Biblia sobre un personaje bíblico.</w:t>
      </w:r>
    </w:p>
    <w:p>
      <w:pPr/>
      <w:r>
        <w:rPr>
          <w:lang w:val="es_ES" w:bidi="es_ES"/>
        </w:rPr>
      </w:r>
      <w:r>
        <w:rPr>
          <w:lang w:val="es_ES" w:bidi="es_ES"/>
        </w:rPr>
        <w:t xml:space="preserve">El carácter y las motivaciones de Balaam parecen ser mixtos en </w:t>
      </w:r>
      <w:r>
        <w:rPr>
          <w:lang w:val="es_ES" w:bidi="es_ES"/>
        </w:rPr>
        <w:t>Números 22–24</w:t>
      </w:r>
      <w:r>
        <w:rPr>
          <w:lang w:val="es_ES" w:bidi="es_ES"/>
        </w:rPr>
        <w:t xml:space="preserve">. </w:t>
      </w:r>
      <w:r>
        <w:rPr>
          <w:lang w:val="es_ES" w:bidi="es_ES"/>
        </w:rPr>
        <w:t>Números 25</w:t>
      </w:r>
      <w:r>
        <w:rPr>
          <w:lang w:val="es_ES" w:bidi="es_ES"/>
        </w:rPr>
        <w:t xml:space="preserve"> describe cómo los hombres de Israel pecaron al relacionarse con mujeres moabitas y adorar a sus dioses, lo que enfureció a Dios. Aunque Balaam no se menciona aquí, </w:t>
      </w:r>
      <w:r>
        <w:rPr>
          <w:lang w:val="es_ES" w:bidi="es_ES"/>
        </w:rPr>
        <w:t>Números 31.16</w:t>
      </w:r>
      <w:r>
        <w:rPr>
          <w:lang w:val="es_ES" w:bidi="es_ES"/>
        </w:rPr>
        <w:t xml:space="preserve"> lo identifica como el instigador de este complot. Después de que terminaron sus visiones, Balaam permaneció en Moab y buscó formas de perjudicar a Israel y obtener ganancias. Los israelitas lo mataron poco después (</w:t>
      </w:r>
      <w:r>
        <w:rPr>
          <w:lang w:val="es_ES" w:bidi="es_ES"/>
        </w:rPr>
        <w:t>Números 31.8</w:t>
      </w:r>
      <w:r>
        <w:rPr>
          <w:lang w:val="es_ES" w:bidi="es_ES"/>
        </w:rPr>
        <w:t>). Balaam se hizo conocido como:</w:t>
      </w:r>
    </w:p>
    <w:p>
      <w:pPr>
        <w:pStyle w:val="ListBullet"/>
        <w:spacing w:line="240" w:lineRule="auto"/>
        <w:ind w:left="720"/>
      </w:pPr>
      <w:r>
        <w:rPr>
          <w:lang w:val="es_ES" w:bidi="es_ES"/>
        </w:rPr>
      </w:r>
      <w:r>
        <w:rPr>
          <w:lang w:val="es_ES" w:bidi="es_ES"/>
        </w:rPr>
        <w:t xml:space="preserve">Un mago con malas intenciones (ver </w:t>
      </w:r>
      <w:r>
        <w:rPr>
          <w:lang w:val="es_ES" w:bidi="es_ES"/>
        </w:rPr>
        <w:t>Deuteronomio 23.4–5</w:t>
      </w:r>
      <w:r>
        <w:rPr>
          <w:lang w:val="es_ES" w:bidi="es_ES"/>
        </w:rPr>
        <w:t xml:space="preserve">; </w:t>
      </w:r>
      <w:r>
        <w:rPr>
          <w:lang w:val="es_ES" w:bidi="es_ES"/>
        </w:rPr>
        <w:t>Josué 13.22</w:t>
      </w:r>
      <w:r>
        <w:rPr>
          <w:lang w:val="es_ES" w:bidi="es_ES"/>
        </w:rPr>
        <w:t>)</w:t>
      </w:r>
    </w:p>
    <w:p>
      <w:pPr>
        <w:pStyle w:val="ListBullet"/>
        <w:spacing w:line="240" w:lineRule="auto"/>
        <w:ind w:left="720"/>
      </w:pPr>
      <w:r>
        <w:rPr>
          <w:lang w:val="es_ES" w:bidi="es_ES"/>
        </w:rPr>
      </w:r>
      <w:r>
        <w:rPr>
          <w:lang w:val="es_ES" w:bidi="es_ES"/>
        </w:rPr>
        <w:t xml:space="preserve">Un falso maestro interesado únicamente en el dinero (ver </w:t>
      </w:r>
      <w:r>
        <w:rPr>
          <w:lang w:val="es_ES" w:bidi="es_ES"/>
        </w:rPr>
        <w:t>Nehemías 13.2</w:t>
      </w:r>
      <w:r>
        <w:rPr>
          <w:lang w:val="es_ES" w:bidi="es_ES"/>
        </w:rPr>
        <w:t xml:space="preserve">; </w:t>
      </w:r>
      <w:r>
        <w:rPr>
          <w:lang w:val="es_ES" w:bidi="es_ES"/>
        </w:rPr>
        <w:t>2 Pedro 2.15</w:t>
      </w:r>
      <w:r>
        <w:rPr>
          <w:lang w:val="es_ES" w:bidi="es_ES"/>
        </w:rPr>
        <w:t xml:space="preserve">; </w:t>
      </w:r>
      <w:r>
        <w:rPr>
          <w:lang w:val="es_ES" w:bidi="es_ES"/>
        </w:rPr>
        <w:t>Judas 1.11</w:t>
      </w:r>
      <w:r>
        <w:rPr>
          <w:lang w:val="es_ES" w:bidi="es_ES"/>
        </w:rPr>
        <w:t>)</w:t>
      </w:r>
    </w:p>
    <w:p>
      <w:pPr>
        <w:pStyle w:val="ListBullet"/>
        <w:spacing w:line="240" w:lineRule="auto"/>
        <w:ind w:left="720"/>
      </w:pPr>
      <w:r>
        <w:rPr>
          <w:lang w:val="es_ES" w:bidi="es_ES"/>
        </w:rPr>
      </w:r>
      <w:r>
        <w:rPr>
          <w:lang w:val="es_ES" w:bidi="es_ES"/>
        </w:rPr>
        <w:t>Alguien que condujo a Israel hacia la idolatría y la inmoralidad (</w:t>
      </w:r>
      <w:r>
        <w:rPr>
          <w:lang w:val="es_ES" w:bidi="es_ES"/>
        </w:rPr>
        <w:t>Números 31.16</w:t>
      </w:r>
      <w:r>
        <w:rPr>
          <w:lang w:val="es_ES" w:bidi="es_ES"/>
        </w:rPr>
        <w:t xml:space="preserve">; ver </w:t>
      </w:r>
      <w:r>
        <w:rPr>
          <w:lang w:val="es_ES" w:bidi="es_ES"/>
        </w:rPr>
        <w:t>Apocalipsis 2.14</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Números 22.1–25.18</w:t>
      </w:r>
      <w:r>
        <w:rPr>
          <w:lang w:val="es_ES" w:bidi="es_ES"/>
        </w:rPr>
        <w:t xml:space="preserve">; </w:t>
      </w:r>
      <w:r>
        <w:rPr>
          <w:lang w:val="es_ES" w:bidi="es_ES"/>
        </w:rPr>
        <w:t>31.8</w:t>
      </w:r>
      <w:r>
        <w:rPr>
          <w:lang w:val="es_ES" w:bidi="es_ES"/>
        </w:rPr>
        <w:t xml:space="preserve">, </w:t>
      </w:r>
      <w:r>
        <w:rPr>
          <w:lang w:val="es_ES" w:bidi="es_ES"/>
        </w:rPr>
        <w:t>16</w:t>
      </w:r>
      <w:r>
        <w:rPr>
          <w:lang w:val="es_ES" w:bidi="es_ES"/>
        </w:rPr>
        <w:t xml:space="preserve">; </w:t>
      </w:r>
      <w:r>
        <w:rPr>
          <w:lang w:val="es_ES" w:bidi="es_ES"/>
        </w:rPr>
        <w:t>Josué 13.22</w:t>
      </w:r>
      <w:r>
        <w:rPr>
          <w:lang w:val="es_ES" w:bidi="es_ES"/>
        </w:rPr>
        <w:t xml:space="preserve">; </w:t>
      </w:r>
      <w:r>
        <w:rPr>
          <w:lang w:val="es_ES" w:bidi="es_ES"/>
        </w:rPr>
        <w:t>2 Pedro 2.15–16</w:t>
      </w:r>
      <w:r>
        <w:rPr>
          <w:lang w:val="es_ES" w:bidi="es_ES"/>
        </w:rPr>
        <w:t xml:space="preserve">; </w:t>
      </w:r>
      <w:r>
        <w:rPr>
          <w:lang w:val="es_ES" w:bidi="es_ES"/>
        </w:rPr>
        <w:t>Judas 1.11</w:t>
      </w:r>
      <w:r>
        <w:rPr>
          <w:lang w:val="es_ES" w:bidi="es_ES"/>
        </w:rPr>
        <w:t xml:space="preserve">; </w:t>
      </w:r>
      <w:r>
        <w:rPr>
          <w:lang w:val="es_ES" w:bidi="es_ES"/>
        </w:rPr>
        <w:t>Apocalipsis 2.14</w:t>
      </w:r>
      <w:r>
        <w:rPr>
          <w:lang w:val="es_ES" w:bidi="es_ES"/>
        </w:rPr>
      </w:r>
      <w:r>
        <w:rPr>
          <w:lang w:val="es_ES" w:bidi="es_ES"/>
        </w:rPr>
      </w:r>
    </w:p>
    <w:p>
      <w:pPr/>
      <w:r>
        <w:rPr>
          <w:lang w:val="es_ES" w:bidi="es_ES"/>
        </w:rPr>
      </w:r>
    </w:p>
    <w:p>
      <w:pPr>
        <w:pStyle w:val="Heading2"/>
      </w:pPr>
      <w:r>
        <w:rPr>
          <w:lang w:val="es_ES" w:bidi="es_ES"/>
        </w:rPr>
        <w:t>Baruch</w:t>
      </w:r>
      <w:r>
        <w:rPr>
          <w:lang w:val="es_ES" w:bidi="es_ES"/>
        </w:rPr>
      </w:r>
    </w:p>
    <w:p>
      <w:pPr/>
      <w:r>
        <w:rPr>
          <w:lang w:val="es_ES" w:bidi="es_ES"/>
        </w:rPr>
      </w:r>
      <w:r>
        <w:rPr>
          <w:lang w:val="es_ES" w:bidi="es_ES"/>
        </w:rPr>
        <w:t xml:space="preserve">Baruch, el hijo de Nerías, era un escriba real en Jerusalem. Trabajó como secretario para el profeta Jeremías. Su hermano, Seraías, era un oficial en la administración de </w:t>
      </w:r>
      <w:r>
        <w:rPr>
          <w:lang w:val="es_ES" w:bidi="es_ES"/>
        </w:rPr>
        <w:t>Sedechîas</w:t>
      </w:r>
      <w:r>
        <w:rPr>
          <w:lang w:val="es_ES" w:bidi="es_ES"/>
        </w:rPr>
        <w:t xml:space="preserve"> (</w:t>
      </w:r>
      <w:r>
        <w:rPr>
          <w:lang w:val="es_ES" w:bidi="es_ES"/>
        </w:rPr>
        <w:t>Jeremías 51.59–64</w:t>
      </w:r>
      <w:r>
        <w:rPr>
          <w:lang w:val="es_ES" w:bidi="es_ES"/>
        </w:rPr>
        <w:t>). La familia de Baruch probablemente ocupaba una posición importante en la administración de Judá.</w:t>
      </w:r>
    </w:p>
    <w:p>
      <w:pPr/>
      <w:r>
        <w:rPr>
          <w:lang w:val="es_ES" w:bidi="es_ES"/>
        </w:rPr>
      </w:r>
      <w:r>
        <w:rPr>
          <w:lang w:val="es_ES" w:bidi="es_ES"/>
        </w:rPr>
        <w:t>En el cuarto año del rey Joacim de Judá (605 a.C.), Dios le indicó a Jeremías que escribiera los mensajes que había entregado a Israel, Judá y otras naciones (</w:t>
      </w:r>
      <w:r>
        <w:rPr>
          <w:lang w:val="es_ES" w:bidi="es_ES"/>
        </w:rPr>
        <w:t>Jeremías 36.1–3</w:t>
      </w:r>
      <w:r>
        <w:rPr>
          <w:lang w:val="es_ES" w:bidi="es_ES"/>
        </w:rPr>
        <w:t>). Jeremías solicitó a Baruch que escribiera las profecías (</w:t>
      </w:r>
      <w:r>
        <w:rPr>
          <w:lang w:val="es_ES" w:bidi="es_ES"/>
        </w:rPr>
        <w:t>Jeremías 36.4</w:t>
      </w:r>
      <w:r>
        <w:rPr>
          <w:lang w:val="es_ES" w:bidi="es_ES"/>
        </w:rPr>
        <w:t>) y las leyera al pueblo (</w:t>
      </w:r>
      <w:r>
        <w:rPr>
          <w:lang w:val="es_ES" w:bidi="es_ES"/>
        </w:rPr>
        <w:t>36.8–19</w:t>
      </w:r>
      <w:r>
        <w:rPr>
          <w:lang w:val="es_ES" w:bidi="es_ES"/>
        </w:rPr>
        <w:t>). Cuando Joacim escuchó el mensaje, destruyó el rollo y ordenó el arresto de Baruch y Jeremías (</w:t>
      </w:r>
      <w:r>
        <w:rPr>
          <w:lang w:val="es_ES" w:bidi="es_ES"/>
        </w:rPr>
        <w:t>Jeremías 36.21–26</w:t>
      </w:r>
      <w:r>
        <w:rPr>
          <w:lang w:val="es_ES" w:bidi="es_ES"/>
        </w:rPr>
        <w:t>). Sin embargo, ellos se escondieron, y Jeremías repitió las profecías mientras Baruch las escribía nuevamente (</w:t>
      </w:r>
      <w:r>
        <w:rPr>
          <w:lang w:val="es_ES" w:bidi="es_ES"/>
        </w:rPr>
        <w:t>Jeremías 36.27–32</w:t>
      </w:r>
      <w:r>
        <w:rPr>
          <w:lang w:val="es_ES" w:bidi="es_ES"/>
        </w:rPr>
        <w:t>).</w:t>
      </w:r>
    </w:p>
    <w:p>
      <w:pPr/>
      <w:r>
        <w:rPr>
          <w:lang w:val="es_ES" w:bidi="es_ES"/>
        </w:rPr>
      </w:r>
      <w:r>
        <w:rPr>
          <w:lang w:val="es_ES" w:bidi="es_ES"/>
        </w:rPr>
        <w:t>En ese momento, Dios envió a Baruch un mensaje personal a través de Jeremías (</w:t>
      </w:r>
      <w:r>
        <w:rPr>
          <w:lang w:val="es_ES" w:bidi="es_ES"/>
        </w:rPr>
        <w:t>Jeremías 45</w:t>
      </w:r>
      <w:r>
        <w:rPr>
          <w:lang w:val="es_ES" w:bidi="es_ES"/>
        </w:rPr>
        <w:t>). Baruch podría haberse preocupado por perder oportunidades de carrera o comodidad personal debido a su conexión con Jeremías. Dios tranquilizó a Baruch con una promesa de protección y le aconsejó que no buscara "grandes cosas" para sí mismo, ya que la destrucción de Judá era inevitable.</w:t>
      </w:r>
    </w:p>
    <w:p>
      <w:pPr/>
      <w:r>
        <w:rPr>
          <w:lang w:val="es_ES" w:bidi="es_ES"/>
        </w:rPr>
      </w:r>
      <w:r>
        <w:rPr>
          <w:lang w:val="es_ES" w:bidi="es_ES"/>
        </w:rPr>
        <w:t>Cuando Jerusalem fue destruida en 586 a.C., Baruch permaneció con Jeremías y otros que se quedaron. Baruch parecía ser influyente porque los líderes rebeldes querían ir a Egipto. Cuando Jeremías les advirtió que no fueran (</w:t>
      </w:r>
      <w:r>
        <w:rPr>
          <w:lang w:val="es_ES" w:bidi="es_ES"/>
        </w:rPr>
        <w:t>Jeremías 42</w:t>
      </w:r>
      <w:r>
        <w:rPr>
          <w:lang w:val="es_ES" w:bidi="es_ES"/>
        </w:rPr>
        <w:t>), acusaron a Baruch de influir en Jeremías. Los líderes ignoraron la advertencia y llevaron a Baruch y Jeremías a Egipto (</w:t>
      </w:r>
      <w:r>
        <w:rPr>
          <w:lang w:val="es_ES" w:bidi="es_ES"/>
        </w:rPr>
        <w:t>Jeremías 43.1–7</w:t>
      </w:r>
      <w:r>
        <w:rPr>
          <w:lang w:val="es_ES" w:bidi="es_ES"/>
        </w:rPr>
        <w:t>). No sabemos cómo, cuándo o dónde murió Baruch. Una tradición dice que fue llevado a Babilonia cuando Nabucodonosor invadió Egipto. También es posible que Baruch muriera en Egipto.</w:t>
      </w:r>
    </w:p>
    <w:p>
      <w:pPr/>
      <w:r>
        <w:rPr>
          <w:lang w:val="es_ES" w:bidi="es_ES"/>
        </w:rPr>
      </w:r>
      <w:r>
        <w:rPr>
          <w:lang w:val="es_ES" w:bidi="es_ES"/>
        </w:rPr>
        <w:t>Dios le advirtió a Baruch que no buscara grandeza, y aparentemente murió sin honor. Sin embargo, su legado podría ser el libro de Jeremías. Probablemente contribuyó a la creación de este libro, que advierte sobre el juicio y expresa claramente la esperanza en el nuevo pacto (</w:t>
      </w:r>
      <w:r>
        <w:rPr>
          <w:lang w:val="es_ES" w:bidi="es_ES"/>
        </w:rPr>
        <w:t>Jeremías 31.31–34</w:t>
      </w:r>
      <w:r>
        <w:rPr>
          <w:lang w:val="es_ES" w:bidi="es_ES"/>
        </w:rPr>
        <w:t>).</w:t>
      </w:r>
    </w:p>
    <w:p>
      <w:pPr/>
      <w:r>
        <w:rPr>
          <w:lang w:val="es_ES" w:bidi="es_ES"/>
        </w:rPr>
      </w:r>
      <w:r>
        <w:rPr>
          <w:lang w:val="es_ES" w:bidi="es_ES"/>
        </w:rPr>
        <w:t xml:space="preserve">En 1975, se descubrió una impresión de arcilla (llamada </w:t>
      </w:r>
      <w:r>
        <w:rPr>
          <w:i/>
          <w:lang w:val="es_ES" w:bidi="es_ES"/>
        </w:rPr>
        <w:t>bulla</w:t>
      </w:r>
      <w:r>
        <w:rPr>
          <w:lang w:val="es_ES" w:bidi="es_ES"/>
        </w:rPr>
        <w:t xml:space="preserve">) de un sello de escriba. Tenía las palabras "[Perteneciente a] </w:t>
      </w:r>
      <w:r>
        <w:rPr>
          <w:i/>
          <w:lang w:val="es_ES" w:bidi="es_ES"/>
        </w:rPr>
        <w:t xml:space="preserve">Berequiahu, </w:t>
      </w:r>
      <w:r>
        <w:rPr>
          <w:lang w:val="es_ES" w:bidi="es_ES"/>
        </w:rPr>
        <w:t>hijo de Neriahu, el escriba." (</w:t>
      </w:r>
      <w:r>
        <w:rPr>
          <w:i/>
          <w:lang w:val="es_ES" w:bidi="es_ES"/>
        </w:rPr>
        <w:t>Berequiahu</w:t>
      </w:r>
      <w:r>
        <w:rPr>
          <w:lang w:val="es_ES" w:bidi="es_ES"/>
        </w:rPr>
        <w:t xml:space="preserve"> es la forma extendida del nombre </w:t>
      </w:r>
      <w:r>
        <w:rPr>
          <w:i/>
          <w:lang w:val="es_ES" w:bidi="es_ES"/>
        </w:rPr>
        <w:t>Baruch</w:t>
      </w:r>
      <w:r>
        <w:rPr>
          <w:lang w:val="es_ES" w:bidi="es_ES"/>
        </w:rPr>
        <w:t>.) Cada escriba y funcionario del gobierno tenía un sello único con su nombre, que utilizaban para sellar documentos, similar a una firma en la actualidad. El sello se presionaba en arcilla blanda para crear una impresión (</w:t>
      </w:r>
      <w:r>
        <w:rPr>
          <w:i/>
          <w:lang w:val="es_ES" w:bidi="es_ES"/>
        </w:rPr>
        <w:t>bulla</w:t>
      </w:r>
      <w:r>
        <w:rPr>
          <w:lang w:val="es_ES" w:bidi="es_ES"/>
        </w:rPr>
        <w:t xml:space="preserve">), que se adjuntaba al documento firmado. La </w:t>
      </w:r>
      <w:r>
        <w:rPr>
          <w:i/>
          <w:lang w:val="es_ES" w:bidi="es_ES"/>
        </w:rPr>
        <w:t>bulla</w:t>
      </w:r>
      <w:r>
        <w:rPr>
          <w:lang w:val="es_ES" w:bidi="es_ES"/>
        </w:rPr>
        <w:t xml:space="preserve"> de Baruch es de la época de Jeremías y Baruch. Otras </w:t>
      </w:r>
      <w:r>
        <w:rPr>
          <w:i/>
          <w:lang w:val="es_ES" w:bidi="es_ES"/>
        </w:rPr>
        <w:t>bullae</w:t>
      </w:r>
      <w:r>
        <w:rPr>
          <w:lang w:val="es_ES" w:bidi="es_ES"/>
        </w:rPr>
        <w:t xml:space="preserve"> encontradas incluyen nombres de personas mencionadas en Jeremías, como:</w:t>
      </w:r>
    </w:p>
    <w:p>
      <w:pPr>
        <w:pStyle w:val="ListNumber"/>
        <w:numPr>
          <w:ilvl w:val="0"/>
          <w:numId w:val="14"/>
        </w:numPr>
        <w:spacing w:line="240" w:lineRule="auto"/>
        <w:ind w:left="720"/>
      </w:pPr>
      <w:r>
        <w:rPr>
          <w:lang w:val="es_ES" w:bidi="es_ES"/>
        </w:rPr>
      </w:r>
      <w:r>
        <w:rPr>
          <w:lang w:val="es_ES" w:bidi="es_ES"/>
        </w:rPr>
        <w:t>“Gemarías, hijo de Saphán” (</w:t>
      </w:r>
      <w:r>
        <w:rPr>
          <w:lang w:val="es_ES" w:bidi="es_ES"/>
        </w:rPr>
        <w:t>Jeremías 36.10–12</w:t>
      </w:r>
      <w:r>
        <w:rPr>
          <w:lang w:val="es_ES" w:bidi="es_ES"/>
        </w:rPr>
        <w:t xml:space="preserve">, </w:t>
      </w:r>
      <w:r>
        <w:rPr>
          <w:lang w:val="es_ES" w:bidi="es_ES"/>
        </w:rPr>
        <w:t>25</w:t>
      </w:r>
      <w:r>
        <w:rPr>
          <w:lang w:val="es_ES" w:bidi="es_ES"/>
        </w:rPr>
        <w:t>)</w:t>
      </w:r>
    </w:p>
    <w:p>
      <w:pPr>
        <w:pStyle w:val="ListNumber"/>
        <w:spacing w:line="240" w:lineRule="auto"/>
        <w:ind w:left="720"/>
      </w:pPr>
      <w:r>
        <w:rPr>
          <w:lang w:val="es_ES" w:bidi="es_ES"/>
        </w:rPr>
      </w:r>
      <w:r>
        <w:rPr>
          <w:lang w:val="es_ES" w:bidi="es_ES"/>
        </w:rPr>
        <w:t>Ismael (</w:t>
      </w:r>
      <w:r>
        <w:rPr>
          <w:lang w:val="es_ES" w:bidi="es_ES"/>
        </w:rPr>
        <w:t>Jeremías 40.7–41.10</w:t>
      </w:r>
      <w:r>
        <w:rPr>
          <w:lang w:val="es_ES" w:bidi="es_ES"/>
        </w:rPr>
        <w:t>)</w:t>
      </w:r>
    </w:p>
    <w:p>
      <w:pPr/>
      <w:r>
        <w:rPr>
          <w:lang w:val="es_ES" w:bidi="es_ES"/>
        </w:rPr>
      </w:r>
      <w:r>
        <w:rPr>
          <w:lang w:val="es_ES" w:bidi="es_ES"/>
        </w:rPr>
        <w:t xml:space="preserve">La mayoría de los estudiosos coinciden en que la </w:t>
      </w:r>
      <w:r>
        <w:rPr>
          <w:i/>
          <w:lang w:val="es_ES" w:bidi="es_ES"/>
        </w:rPr>
        <w:t>bulla</w:t>
      </w:r>
      <w:r>
        <w:rPr>
          <w:lang w:val="es_ES" w:bidi="es_ES"/>
        </w:rPr>
        <w:t xml:space="preserve"> de Baruch fue realizada con el sello de Baruch, el escriba de Jeremías. Estas </w:t>
      </w:r>
      <w:r>
        <w:rPr>
          <w:i/>
          <w:lang w:val="es_ES" w:bidi="es_ES"/>
        </w:rPr>
        <w:t>bullae</w:t>
      </w:r>
      <w:r>
        <w:rPr>
          <w:lang w:val="es_ES" w:bidi="es_ES"/>
        </w:rPr>
        <w:t>, pequeños artefactos de una civilización antigua, ofrecen pruebas históricas independientes de ciertos detalles en el relato de Jeremías.</w:t>
      </w:r>
    </w:p>
    <w:p>
      <w:pPr/>
      <w:r>
        <w:rPr>
          <w:lang w:val="es_ES" w:bidi="es_ES"/>
        </w:rPr>
      </w:r>
      <w:r>
        <w:rPr>
          <w:u w:val="single"/>
          <w:lang w:val="es_ES" w:bidi="es_ES"/>
        </w:rPr>
        <w:t>Pasajes para Estudio Complementario</w:t>
      </w:r>
    </w:p>
    <w:p>
      <w:pPr/>
      <w:r>
        <w:rPr>
          <w:lang w:val="es_ES" w:bidi="es_ES"/>
        </w:rPr>
      </w:r>
      <w:r>
        <w:rPr>
          <w:lang w:val="es_ES" w:bidi="es_ES"/>
        </w:rPr>
        <w:t>Jeremías 32.9–15</w:t>
      </w:r>
      <w:r>
        <w:rPr>
          <w:lang w:val="es_ES" w:bidi="es_ES"/>
        </w:rPr>
        <w:t xml:space="preserve">; </w:t>
      </w:r>
      <w:r>
        <w:rPr>
          <w:lang w:val="es_ES" w:bidi="es_ES"/>
        </w:rPr>
        <w:t>36.1–21</w:t>
      </w:r>
      <w:r>
        <w:rPr>
          <w:lang w:val="es_ES" w:bidi="es_ES"/>
        </w:rPr>
        <w:t xml:space="preserve">, </w:t>
      </w:r>
      <w:r>
        <w:rPr>
          <w:lang w:val="es_ES" w:bidi="es_ES"/>
        </w:rPr>
        <w:t>26–32</w:t>
      </w:r>
      <w:r>
        <w:rPr>
          <w:lang w:val="es_ES" w:bidi="es_ES"/>
        </w:rPr>
        <w:t xml:space="preserve">; </w:t>
      </w:r>
      <w:r>
        <w:rPr>
          <w:lang w:val="es_ES" w:bidi="es_ES"/>
        </w:rPr>
        <w:t>43.1–7</w:t>
      </w:r>
      <w:r>
        <w:rPr>
          <w:lang w:val="es_ES" w:bidi="es_ES"/>
        </w:rPr>
        <w:t xml:space="preserve">; </w:t>
      </w:r>
      <w:r>
        <w:rPr>
          <w:lang w:val="es_ES" w:bidi="es_ES"/>
        </w:rPr>
        <w:t>45.1–5</w:t>
      </w:r>
      <w:r>
        <w:rPr>
          <w:lang w:val="es_ES" w:bidi="es_ES"/>
        </w:rPr>
      </w:r>
      <w:r>
        <w:rPr>
          <w:lang w:val="es_ES" w:bidi="es_ES"/>
        </w:rPr>
      </w:r>
    </w:p>
    <w:p>
      <w:pPr/>
      <w:r>
        <w:rPr>
          <w:lang w:val="es_ES" w:bidi="es_ES"/>
        </w:rPr>
      </w:r>
    </w:p>
    <w:p>
      <w:pPr>
        <w:pStyle w:val="Heading2"/>
      </w:pPr>
      <w:r>
        <w:rPr>
          <w:lang w:val="es_ES" w:bidi="es_ES"/>
        </w:rPr>
        <w:t>Bath-sheba</w:t>
      </w:r>
      <w:r>
        <w:rPr>
          <w:lang w:val="es_ES" w:bidi="es_ES"/>
        </w:rPr>
      </w:r>
    </w:p>
    <w:p>
      <w:pPr/>
      <w:r>
        <w:rPr>
          <w:lang w:val="es_ES" w:bidi="es_ES"/>
        </w:rPr>
      </w:r>
      <w:r>
        <w:rPr>
          <w:lang w:val="es_ES" w:bidi="es_ES"/>
        </w:rPr>
        <w:t>Bath-sheba</w:t>
      </w:r>
      <w:r>
        <w:rPr>
          <w:lang w:val="es_ES" w:bidi="es_ES"/>
        </w:rPr>
        <w:t xml:space="preserve">, la esposa de </w:t>
      </w:r>
      <w:r>
        <w:rPr>
          <w:lang w:val="es_ES" w:bidi="es_ES"/>
        </w:rPr>
        <w:t>Uría Hetheo</w:t>
      </w:r>
      <w:r>
        <w:rPr>
          <w:lang w:val="es_ES" w:bidi="es_ES"/>
        </w:rPr>
        <w:t>, era hija de Eliam (</w:t>
      </w:r>
      <w:r>
        <w:rPr>
          <w:lang w:val="es_ES" w:bidi="es_ES"/>
        </w:rPr>
        <w:t>2 Samuel 11.3</w:t>
      </w:r>
      <w:r>
        <w:rPr>
          <w:lang w:val="es_ES" w:bidi="es_ES"/>
        </w:rPr>
        <w:t xml:space="preserve">; ver también </w:t>
      </w:r>
      <w:r>
        <w:rPr>
          <w:lang w:val="es_ES" w:bidi="es_ES"/>
        </w:rPr>
        <w:t>1 Crónicas 3.5</w:t>
      </w:r>
      <w:r>
        <w:rPr>
          <w:lang w:val="es_ES" w:bidi="es_ES"/>
        </w:rPr>
        <w:t xml:space="preserve">). Era nieta de </w:t>
      </w:r>
      <w:r>
        <w:rPr>
          <w:lang w:val="es_ES" w:bidi="es_ES"/>
        </w:rPr>
        <w:t>Achitophel Gilonita</w:t>
      </w:r>
      <w:r>
        <w:rPr>
          <w:lang w:val="es_ES" w:bidi="es_ES"/>
        </w:rPr>
        <w:t>, el consejero del rey (</w:t>
      </w:r>
      <w:r>
        <w:rPr>
          <w:lang w:val="es_ES" w:bidi="es_ES"/>
        </w:rPr>
        <w:t>2 Samuel 15.12</w:t>
      </w:r>
      <w:r>
        <w:rPr>
          <w:lang w:val="es_ES" w:bidi="es_ES"/>
        </w:rPr>
        <w:t xml:space="preserve">; </w:t>
      </w:r>
      <w:r>
        <w:rPr>
          <w:lang w:val="es_ES" w:bidi="es_ES"/>
        </w:rPr>
        <w:t>23.34</w:t>
      </w:r>
      <w:r>
        <w:rPr>
          <w:lang w:val="es_ES" w:bidi="es_ES"/>
        </w:rPr>
        <w:t>). Su esposo, Uría Hetheo, era un soldado Hitita. Formaba parte del ejército del rey David y era uno de los valientes guerreros de David (</w:t>
      </w:r>
      <w:r>
        <w:rPr>
          <w:lang w:val="es_ES" w:bidi="es_ES"/>
        </w:rPr>
        <w:t>2 Samuel 23.39</w:t>
      </w:r>
      <w:r>
        <w:rPr>
          <w:lang w:val="es_ES" w:bidi="es_ES"/>
        </w:rPr>
        <w:t>).</w:t>
      </w:r>
    </w:p>
    <w:p>
      <w:pPr/>
      <w:r>
        <w:rPr>
          <w:lang w:val="es_ES" w:bidi="es_ES"/>
        </w:rPr>
      </w:r>
      <w:r>
        <w:rPr>
          <w:lang w:val="es_ES" w:bidi="es_ES"/>
        </w:rPr>
        <w:t>Una primavera, David permaneció en Jerusalem mientras el ejército iba a la batalla (</w:t>
      </w:r>
      <w:r>
        <w:rPr>
          <w:lang w:val="es_ES" w:bidi="es_ES"/>
        </w:rPr>
        <w:t>2 Samuel 11.1</w:t>
      </w:r>
      <w:r>
        <w:rPr>
          <w:lang w:val="es_ES" w:bidi="es_ES"/>
        </w:rPr>
        <w:t xml:space="preserve">). Al mediodía, mientras descansaba, David paseaba por su techo con vista a la ciudad y vio a la hermosa </w:t>
      </w:r>
      <w:r>
        <w:rPr>
          <w:lang w:val="es_ES" w:bidi="es_ES"/>
        </w:rPr>
        <w:t>Bath-sheba</w:t>
      </w:r>
      <w:r>
        <w:rPr>
          <w:lang w:val="es_ES" w:bidi="es_ES"/>
        </w:rPr>
        <w:t xml:space="preserve"> bañándose. Ordenó que la llevaran a sus aposentos privados. Luego tuvo relaciones sexuales con ella, y ella quedó embarazada (</w:t>
      </w:r>
      <w:r>
        <w:rPr>
          <w:lang w:val="es_ES" w:bidi="es_ES"/>
        </w:rPr>
        <w:t>2 Samuel 11.2–4</w:t>
      </w:r>
      <w:r>
        <w:rPr>
          <w:lang w:val="es_ES" w:bidi="es_ES"/>
        </w:rPr>
        <w:t>).</w:t>
      </w:r>
    </w:p>
    <w:p>
      <w:pPr/>
      <w:r>
        <w:rPr>
          <w:lang w:val="es_ES" w:bidi="es_ES"/>
        </w:rPr>
      </w:r>
      <w:r>
        <w:rPr>
          <w:lang w:val="es_ES" w:bidi="es_ES"/>
        </w:rPr>
        <w:t xml:space="preserve">David no quería que la gente descubriera lo que había hecho mal, así que intentó ocultarlo. Le dijo a Joab, el general, que hiciera que </w:t>
      </w:r>
      <w:r>
        <w:rPr>
          <w:lang w:val="es_ES" w:bidi="es_ES"/>
        </w:rPr>
        <w:t>Uría Hetheo</w:t>
      </w:r>
      <w:r>
        <w:rPr>
          <w:lang w:val="es_ES" w:bidi="es_ES"/>
        </w:rPr>
        <w:t xml:space="preserve"> trajera un informe de las líneas de batalla. David esperaba que </w:t>
      </w:r>
      <w:r>
        <w:rPr>
          <w:lang w:val="es_ES" w:bidi="es_ES"/>
        </w:rPr>
        <w:t>Uría Hetheo</w:t>
      </w:r>
      <w:r>
        <w:rPr>
          <w:lang w:val="es_ES" w:bidi="es_ES"/>
        </w:rPr>
        <w:t xml:space="preserve"> regresara a casa y tuviera relaciones sexuales con Bath-sheba, lo que haría parecer que ella había quedado embarazada de Uría Hetheo. Sin embargo, Uría Hetheo sentía que todavía estaba de servicio, así que durmió en la puerta del palacio (</w:t>
      </w:r>
      <w:r>
        <w:rPr>
          <w:lang w:val="es_ES" w:bidi="es_ES"/>
        </w:rPr>
        <w:t>2 Samuel 11.5–13</w:t>
      </w:r>
      <w:r>
        <w:rPr>
          <w:lang w:val="es_ES" w:bidi="es_ES"/>
        </w:rPr>
        <w:t>).</w:t>
      </w:r>
    </w:p>
    <w:p>
      <w:pPr/>
      <w:r>
        <w:rPr>
          <w:lang w:val="es_ES" w:bidi="es_ES"/>
        </w:rPr>
      </w:r>
      <w:r>
        <w:rPr>
          <w:lang w:val="es_ES" w:bidi="es_ES"/>
        </w:rPr>
        <w:t xml:space="preserve">Cuando David le preguntó sobre esto, Uría Hetheo respondió que no podía dormir con su esposa mientras el arca de la alianza y los ejércitos de Israel estaban en guerra. Esta respuesta dejó a David en una posición incómoda. Uría Hetheo ni siquiera era israelita, pero estaba dispuesto a regresar a la batalla, evitando estar con su esposa (ver </w:t>
      </w:r>
      <w:r>
        <w:rPr>
          <w:lang w:val="es_ES" w:bidi="es_ES"/>
        </w:rPr>
        <w:t>Levítico 15.16–18</w:t>
      </w:r>
      <w:r>
        <w:rPr>
          <w:lang w:val="es_ES" w:bidi="es_ES"/>
        </w:rPr>
        <w:t>). Sin embargo, David se quedó en casa e intentó ocultar su adulterio. Luego, David envió a Uría Hetheo de regreso y ordenó a Joab que se asegurara de que Uría Hetheo muriera en batalla (</w:t>
      </w:r>
      <w:r>
        <w:rPr>
          <w:lang w:val="es_ES" w:bidi="es_ES"/>
        </w:rPr>
        <w:t>2 Samuel 11.14–25</w:t>
      </w:r>
      <w:r>
        <w:rPr>
          <w:lang w:val="es_ES" w:bidi="es_ES"/>
        </w:rPr>
        <w:t>). La muerte de Uría Hetheo no mantuvo en secreto el pecado de David. El Señor envió al profeta Nathán para confrontar a David, y David confesó su pecado y se arrepintió (</w:t>
      </w:r>
      <w:r>
        <w:rPr>
          <w:lang w:val="es_ES" w:bidi="es_ES"/>
        </w:rPr>
        <w:t>2 Samuel 12.1–14</w:t>
      </w:r>
      <w:r>
        <w:rPr>
          <w:lang w:val="es_ES" w:bidi="es_ES"/>
        </w:rPr>
        <w:t xml:space="preserve">; ver </w:t>
      </w:r>
      <w:r>
        <w:rPr>
          <w:lang w:val="es_ES" w:bidi="es_ES"/>
        </w:rPr>
        <w:t>Salmo 51</w:t>
      </w:r>
      <w:r>
        <w:rPr>
          <w:lang w:val="es_ES" w:bidi="es_ES"/>
        </w:rPr>
        <w:t>).</w:t>
      </w:r>
    </w:p>
    <w:p>
      <w:pPr/>
      <w:r>
        <w:rPr>
          <w:lang w:val="es_ES" w:bidi="es_ES"/>
        </w:rPr>
      </w:r>
      <w:r>
        <w:rPr>
          <w:lang w:val="es_ES" w:bidi="es_ES"/>
        </w:rPr>
        <w:t>El bebé de Bath-sheba se enfermó y murió, tal como Nathán había predicho. Después del período de duelo de Bath-sheba, David la llevó al palacio como su esposa. David y Bath-sheba tuvieron otros hijos, entre ellos:</w:t>
      </w:r>
    </w:p>
    <w:p>
      <w:pPr>
        <w:pStyle w:val="ListBullet"/>
        <w:spacing w:line="240" w:lineRule="auto"/>
        <w:ind w:left="720"/>
      </w:pPr>
      <w:r>
        <w:rPr>
          <w:lang w:val="es_ES" w:bidi="es_ES"/>
        </w:rPr>
      </w:r>
      <w:r>
        <w:rPr>
          <w:lang w:val="es_ES" w:bidi="es_ES"/>
        </w:rPr>
        <w:t>Sima</w:t>
      </w:r>
    </w:p>
    <w:p>
      <w:pPr>
        <w:pStyle w:val="ListBullet"/>
        <w:spacing w:line="240" w:lineRule="auto"/>
        <w:ind w:left="720"/>
      </w:pPr>
      <w:r>
        <w:rPr>
          <w:lang w:val="es_ES" w:bidi="es_ES"/>
        </w:rPr>
      </w:r>
      <w:r>
        <w:rPr>
          <w:lang w:val="es_ES" w:bidi="es_ES"/>
        </w:rPr>
        <w:t>Sobab</w:t>
      </w:r>
    </w:p>
    <w:p>
      <w:pPr>
        <w:pStyle w:val="ListBullet"/>
        <w:spacing w:line="240" w:lineRule="auto"/>
        <w:ind w:left="720"/>
      </w:pPr>
      <w:r>
        <w:rPr>
          <w:lang w:val="es_ES" w:bidi="es_ES"/>
        </w:rPr>
      </w:r>
      <w:r>
        <w:rPr>
          <w:lang w:val="es_ES" w:bidi="es_ES"/>
        </w:rPr>
        <w:t>Nathán</w:t>
      </w:r>
    </w:p>
    <w:p>
      <w:pPr>
        <w:pStyle w:val="ListBullet"/>
        <w:spacing w:line="240" w:lineRule="auto"/>
        <w:ind w:left="720"/>
      </w:pPr>
      <w:r>
        <w:rPr>
          <w:lang w:val="es_ES" w:bidi="es_ES"/>
        </w:rPr>
      </w:r>
      <w:r>
        <w:rPr>
          <w:lang w:val="es_ES" w:bidi="es_ES"/>
        </w:rPr>
        <w:t>Salomón (</w:t>
      </w:r>
      <w:r>
        <w:rPr>
          <w:lang w:val="es_ES" w:bidi="es_ES"/>
        </w:rPr>
        <w:t>2 Samuel 12.15–25</w:t>
      </w:r>
      <w:r>
        <w:rPr>
          <w:lang w:val="es_ES" w:bidi="es_ES"/>
        </w:rPr>
        <w:t xml:space="preserve">; </w:t>
      </w:r>
      <w:r>
        <w:rPr>
          <w:lang w:val="es_ES" w:bidi="es_ES"/>
        </w:rPr>
        <w:t>1 Crónicas 3.5</w:t>
      </w:r>
      <w:r>
        <w:rPr>
          <w:lang w:val="es_ES" w:bidi="es_ES"/>
        </w:rPr>
        <w:t>)</w:t>
      </w:r>
    </w:p>
    <w:p>
      <w:pPr/>
      <w:r>
        <w:rPr>
          <w:lang w:val="es_ES" w:bidi="es_ES"/>
        </w:rPr>
      </w:r>
      <w:r>
        <w:rPr>
          <w:lang w:val="es_ES" w:bidi="es_ES"/>
        </w:rPr>
        <w:t>Durante el resto de la vida de David, sus esposas e hijos se enfrentaron entre sí por el poder. La peor de estas luchas familiares ocurrió cuando David era anciano. En ese momento, Bath-sheba se esforzó para garantizar que su hijo Salomón se convirtiera en el próximo rey (</w:t>
      </w:r>
      <w:r>
        <w:rPr>
          <w:lang w:val="es_ES" w:bidi="es_ES"/>
        </w:rPr>
        <w:t>1 Reyes 1.1–53</w:t>
      </w:r>
      <w:r>
        <w:rPr>
          <w:lang w:val="es_ES" w:bidi="es_ES"/>
        </w:rPr>
        <w:t>).</w:t>
      </w:r>
    </w:p>
    <w:p>
      <w:pPr/>
      <w:r>
        <w:rPr>
          <w:lang w:val="es_ES" w:bidi="es_ES"/>
        </w:rPr>
      </w:r>
      <w:r>
        <w:rPr>
          <w:lang w:val="es_ES" w:bidi="es_ES"/>
        </w:rPr>
        <w:t>Cuando Mateo enumera la historia familiar de Jesús el Mesías, menciona tanto a Salomón como a Bath-sheba (</w:t>
      </w:r>
      <w:r>
        <w:rPr>
          <w:lang w:val="es_ES" w:bidi="es_ES"/>
        </w:rPr>
        <w:t>Mateo 1.6</w:t>
      </w:r>
      <w:r>
        <w:rPr>
          <w:lang w:val="es_ES" w:bidi="es_ES"/>
        </w:rPr>
        <w:t>). Ella es descrita como “la esposa de Uría Hetheo”. Esto nos recuerda el pecado que la llevó a la familia de David y el favor misericordioso de Dios hacia sus descendientes.</w:t>
      </w:r>
    </w:p>
    <w:p>
      <w:pPr/>
      <w:r>
        <w:rPr>
          <w:lang w:val="es_ES" w:bidi="es_ES"/>
        </w:rPr>
      </w:r>
      <w:r>
        <w:rPr>
          <w:u w:val="single"/>
          <w:lang w:val="es_ES" w:bidi="es_ES"/>
        </w:rPr>
        <w:t>Pasajes para Estudio Complementario</w:t>
      </w:r>
    </w:p>
    <w:p>
      <w:pPr/>
      <w:r>
        <w:rPr>
          <w:lang w:val="es_ES" w:bidi="es_ES"/>
        </w:rPr>
      </w:r>
      <w:r>
        <w:rPr>
          <w:lang w:val="es_ES" w:bidi="es_ES"/>
        </w:rPr>
        <w:t>2 Samuel 11.1–12.25</w:t>
      </w:r>
      <w:r>
        <w:rPr>
          <w:lang w:val="es_ES" w:bidi="es_ES"/>
        </w:rPr>
        <w:t xml:space="preserve">; </w:t>
      </w:r>
      <w:r>
        <w:rPr>
          <w:lang w:val="es_ES" w:bidi="es_ES"/>
        </w:rPr>
        <w:t>1 Reyes 1.5–2.25</w:t>
      </w:r>
      <w:r>
        <w:rPr>
          <w:lang w:val="es_ES" w:bidi="es_ES"/>
        </w:rPr>
        <w:t xml:space="preserve">; </w:t>
      </w:r>
      <w:r>
        <w:rPr>
          <w:lang w:val="es_ES" w:bidi="es_ES"/>
        </w:rPr>
        <w:t>Salmo 51.1–19</w:t>
      </w:r>
      <w:r>
        <w:rPr>
          <w:lang w:val="es_ES" w:bidi="es_ES"/>
        </w:rPr>
      </w:r>
      <w:r>
        <w:rPr>
          <w:lang w:val="es_ES" w:bidi="es_ES"/>
        </w:rPr>
      </w:r>
    </w:p>
    <w:p>
      <w:pPr/>
      <w:r>
        <w:rPr>
          <w:lang w:val="es_ES" w:bidi="es_ES"/>
        </w:rPr>
      </w:r>
    </w:p>
    <w:p>
      <w:pPr>
        <w:pStyle w:val="Heading2"/>
      </w:pPr>
      <w:r>
        <w:rPr>
          <w:lang w:val="es_ES" w:bidi="es_ES"/>
        </w:rPr>
        <w:t>Bernabé</w:t>
      </w:r>
      <w:r>
        <w:rPr>
          <w:lang w:val="es_ES" w:bidi="es_ES"/>
        </w:rPr>
      </w:r>
    </w:p>
    <w:p>
      <w:pPr/>
      <w:r>
        <w:rPr>
          <w:lang w:val="es_ES" w:bidi="es_ES"/>
        </w:rPr>
      </w:r>
      <w:r>
        <w:rPr>
          <w:lang w:val="es_ES" w:bidi="es_ES"/>
        </w:rPr>
        <w:t>Bernabé se presenta en Hechos como un excelente ejemplo de líder cristiano. Era de Cipro y participaba activamente en la iglesia de Jerusalem. Bernabé demostró gran generosidad al ayudar a los miembros más necesitados (</w:t>
      </w:r>
      <w:r>
        <w:rPr>
          <w:lang w:val="es_ES" w:bidi="es_ES"/>
        </w:rPr>
        <w:t>Hechos 4.32–37</w:t>
      </w:r>
      <w:r>
        <w:rPr>
          <w:lang w:val="es_ES" w:bidi="es_ES"/>
        </w:rPr>
        <w:t>). Su verdadero nombre era José, pero le apodaron Bernabé. Bernabé significa "Hijo de Consolación" y refleja su carácter (</w:t>
      </w:r>
      <w:r>
        <w:rPr>
          <w:lang w:val="es_ES" w:bidi="es_ES"/>
        </w:rPr>
        <w:t>Hechos 4.36</w:t>
      </w:r>
      <w:r>
        <w:rPr>
          <w:lang w:val="es_ES" w:bidi="es_ES"/>
        </w:rPr>
        <w:t>).</w:t>
      </w:r>
    </w:p>
    <w:p>
      <w:pPr/>
      <w:r>
        <w:rPr>
          <w:lang w:val="es_ES" w:bidi="es_ES"/>
        </w:rPr>
      </w:r>
      <w:r>
        <w:rPr>
          <w:lang w:val="es_ES" w:bidi="es_ES"/>
        </w:rPr>
        <w:t>Bernabé estaba bien preparado para evaluar adecuadamente el nuevo trabajo en Antioquía (</w:t>
      </w:r>
      <w:r>
        <w:rPr>
          <w:lang w:val="es_ES" w:bidi="es_ES"/>
        </w:rPr>
        <w:t>Hechos 11.19–22</w:t>
      </w:r>
      <w:r>
        <w:rPr>
          <w:lang w:val="es_ES" w:bidi="es_ES"/>
        </w:rPr>
        <w:t>). Bernabé reconoció la bendición de Dios allí y animó a los creyentes a mantenerse fieles al Señor (</w:t>
      </w:r>
      <w:r>
        <w:rPr>
          <w:lang w:val="es_ES" w:bidi="es_ES"/>
        </w:rPr>
        <w:t>Hechos 11.23</w:t>
      </w:r>
      <w:r>
        <w:rPr>
          <w:lang w:val="es_ES" w:bidi="es_ES"/>
        </w:rPr>
        <w:t>). Su buen carácter se reflejaba en su amabilidad, fuerte fe, y una vida y trabajo llenos del Espíritu (</w:t>
      </w:r>
      <w:r>
        <w:rPr>
          <w:lang w:val="es_ES" w:bidi="es_ES"/>
        </w:rPr>
        <w:t>Hechos 11.24</w:t>
      </w:r>
      <w:r>
        <w:rPr>
          <w:lang w:val="es_ES" w:bidi="es_ES"/>
        </w:rPr>
        <w:t>). El Espíritu eligió a Bernabé y Saúl para una misión especial (conocida como el primer viaje misionero). La iglesia en Antioquía los envió en este viaje (</w:t>
      </w:r>
      <w:r>
        <w:rPr>
          <w:lang w:val="es_ES" w:bidi="es_ES"/>
        </w:rPr>
        <w:t>Hechos 13.1–3</w:t>
      </w:r>
      <w:r>
        <w:rPr>
          <w:lang w:val="es_ES" w:bidi="es_ES"/>
        </w:rPr>
        <w:t>).</w:t>
      </w:r>
    </w:p>
    <w:p>
      <w:pPr/>
      <w:r>
        <w:rPr>
          <w:lang w:val="es_ES" w:bidi="es_ES"/>
        </w:rPr>
      </w:r>
      <w:r>
        <w:rPr>
          <w:lang w:val="es_ES" w:bidi="es_ES"/>
        </w:rPr>
        <w:t>Bernabé demostró sabiduría al ir a Tarso para encontrar a Saúl (</w:t>
      </w:r>
      <w:r>
        <w:rPr>
          <w:lang w:val="es_ES" w:bidi="es_ES"/>
        </w:rPr>
        <w:t>Hechos 11.25</w:t>
      </w:r>
      <w:r>
        <w:rPr>
          <w:lang w:val="es_ES" w:bidi="es_ES"/>
        </w:rPr>
        <w:t>). Bernabé admiraba la valiente predicación de Saúl como nuevo cristiano en Damasco. Presentó a Saúl a los apóstoles, lo cual fue crucial porque Saúl había atacado previamente a los creyentes. Gracias a Bernabé, Saúl conoció a los apóstoles originales, ganó su aceptación y predicó valientemente en Jerusalem hasta que tuvo que irse (</w:t>
      </w:r>
      <w:r>
        <w:rPr>
          <w:lang w:val="es_ES" w:bidi="es_ES"/>
        </w:rPr>
        <w:t>Hechos 9.26–30</w:t>
      </w:r>
      <w:r>
        <w:rPr>
          <w:lang w:val="es_ES" w:bidi="es_ES"/>
        </w:rPr>
        <w:t>). El viaje de Bernabé fue exitoso, y durante un año, trabajaron juntos en la iglesia de Antioquía, atrayendo a grandes multitudes (</w:t>
      </w:r>
      <w:r>
        <w:rPr>
          <w:lang w:val="es_ES" w:bidi="es_ES"/>
        </w:rPr>
        <w:t>Hechos 11.26</w:t>
      </w:r>
      <w:r>
        <w:rPr>
          <w:lang w:val="es_ES" w:bidi="es_ES"/>
        </w:rPr>
        <w:t>).</w:t>
      </w:r>
    </w:p>
    <w:p>
      <w:pPr/>
      <w:r>
        <w:rPr>
          <w:lang w:val="es_ES" w:bidi="es_ES"/>
        </w:rPr>
      </w:r>
      <w:r>
        <w:rPr>
          <w:lang w:val="es_ES" w:bidi="es_ES"/>
        </w:rPr>
        <w:t xml:space="preserve">Bernabé era una persona influyente. En Listra, la gente incluso creía que era Zeus (ver </w:t>
      </w:r>
      <w:r>
        <w:rPr>
          <w:lang w:val="es_ES" w:bidi="es_ES"/>
        </w:rPr>
        <w:t>Hechos 14.8–18</w:t>
      </w:r>
      <w:r>
        <w:rPr>
          <w:lang w:val="es_ES" w:bidi="es_ES"/>
        </w:rPr>
        <w:t xml:space="preserve">). Era primo y mentor de Juan Marcos. Bernabé ayudó a Juan Marcos a obtener una segunda oportunidad para destacarse como líder cristiano después de que abandonara una misión anterior (ver </w:t>
      </w:r>
      <w:r>
        <w:rPr>
          <w:lang w:val="es_ES" w:bidi="es_ES"/>
        </w:rPr>
        <w:t>Hechos 15.36–40</w:t>
      </w:r>
      <w:r>
        <w:rPr>
          <w:lang w:val="es_ES" w:bidi="es_ES"/>
        </w:rPr>
        <w:t>).</w:t>
      </w:r>
    </w:p>
    <w:p>
      <w:pPr/>
      <w:r>
        <w:rPr>
          <w:lang w:val="es_ES" w:bidi="es_ES"/>
        </w:rPr>
      </w:r>
      <w:r>
        <w:rPr>
          <w:lang w:val="es_ES" w:bidi="es_ES"/>
        </w:rPr>
        <w:t>Bernabé comprendía cómo otros podían influir en las personas para hacer cosas incorrectas. En una ocasión, sucumbió a esta presión e hizo algo que sabía que estaba mal (</w:t>
      </w:r>
      <w:r>
        <w:rPr>
          <w:lang w:val="es_ES" w:bidi="es_ES"/>
        </w:rPr>
        <w:t>Gálatas 2.11–13</w:t>
      </w:r>
      <w:r>
        <w:rPr>
          <w:lang w:val="es_ES" w:bidi="es_ES"/>
        </w:rPr>
        <w:t>). Bernabé no era perfecto, pero fue un "Hijo de Consolación" para muchos. Era generoso y desinteresado, ayudando a otros y a la iglesia a crecer.</w:t>
      </w:r>
    </w:p>
    <w:p>
      <w:pPr/>
      <w:r>
        <w:rPr>
          <w:lang w:val="es_ES" w:bidi="es_ES"/>
        </w:rPr>
      </w:r>
      <w:r>
        <w:rPr>
          <w:u w:val="single"/>
          <w:lang w:val="es_ES" w:bidi="es_ES"/>
        </w:rPr>
        <w:t>Pasajes para Estudio Complementario</w:t>
      </w:r>
    </w:p>
    <w:p>
      <w:pPr/>
      <w:r>
        <w:rPr>
          <w:lang w:val="es_ES" w:bidi="es_ES"/>
        </w:rPr>
      </w:r>
      <w:r>
        <w:rPr>
          <w:lang w:val="es_ES" w:bidi="es_ES"/>
        </w:rPr>
        <w:t>Hechos 4.36–37</w:t>
      </w:r>
      <w:r>
        <w:rPr>
          <w:lang w:val="es_ES" w:bidi="es_ES"/>
        </w:rPr>
        <w:t xml:space="preserve">; </w:t>
      </w:r>
      <w:r>
        <w:rPr>
          <w:lang w:val="es_ES" w:bidi="es_ES"/>
        </w:rPr>
        <w:t>9.26–28</w:t>
      </w:r>
      <w:r>
        <w:rPr>
          <w:lang w:val="es_ES" w:bidi="es_ES"/>
        </w:rPr>
        <w:t xml:space="preserve">; </w:t>
      </w:r>
      <w:r>
        <w:rPr>
          <w:lang w:val="es_ES" w:bidi="es_ES"/>
        </w:rPr>
        <w:t>11.19–30</w:t>
      </w:r>
      <w:r>
        <w:rPr>
          <w:lang w:val="es_ES" w:bidi="es_ES"/>
        </w:rPr>
        <w:t xml:space="preserve">; </w:t>
      </w:r>
      <w:r>
        <w:rPr>
          <w:lang w:val="es_ES" w:bidi="es_ES"/>
        </w:rPr>
        <w:t>13.1–15.40</w:t>
      </w:r>
      <w:r>
        <w:rPr>
          <w:lang w:val="es_ES" w:bidi="es_ES"/>
        </w:rPr>
        <w:t xml:space="preserve">; </w:t>
      </w:r>
      <w:r>
        <w:rPr>
          <w:lang w:val="es_ES" w:bidi="es_ES"/>
        </w:rPr>
        <w:t>Gálatas 2.1–14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