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百基拉和亞居拉</w:t>
      </w:r>
      <w:r>
        <w:rPr>
          <w:lang w:val="zh_TW" w:bidi="zh_TW"/>
        </w:rPr>
      </w:r>
    </w:p>
    <w:p>
      <w:pPr/>
      <w:r>
        <w:rPr>
          <w:lang w:val="zh_TW" w:bidi="zh_TW"/>
        </w:rPr>
      </w:r>
      <w:r>
        <w:rPr>
          <w:lang w:val="zh_TW" w:bidi="zh_TW"/>
        </w:rPr>
        <w:t>百基拉和亞居拉是一對基督徒夫婦。保羅在哥林多的早期事奉中，曾與他們一同生活和工作。後來，他們積極參與基督徒的事工，並幫助亞波羅真正明白耶穌。他們也經常在家中接待其他基督徒。</w:t>
      </w:r>
    </w:p>
    <w:p>
      <w:pPr/>
      <w:r>
        <w:rPr>
          <w:lang w:val="zh_TW" w:bidi="zh_TW"/>
        </w:rPr>
      </w:r>
      <w:r>
        <w:rPr>
          <w:lang w:val="zh_TW" w:bidi="zh_TW"/>
        </w:rPr>
        <w:t>保羅首次遇見百基拉和亞居拉是在哥林多。他們剛從羅馬來到這座城，因為羅馬皇帝克勞第‧凱撒在公元49年下令驅逐所有猶太人。保羅與他們相識，並發現他們與自己一樣是製造帳篷的工匠（或皮革工匠），於是在公元50至52年保羅在哥林多的頭一年半內，他與他們同住並一起工作（</w:t>
      </w:r>
      <w:r>
        <w:rPr>
          <w:lang w:val="zh_TW" w:bidi="zh_TW"/>
        </w:rPr>
        <w:t>徒18:1–3</w:t>
      </w:r>
      <w:r>
        <w:rPr>
          <w:lang w:val="zh_TW" w:bidi="zh_TW"/>
        </w:rPr>
        <w:t>）。</w:t>
      </w:r>
    </w:p>
    <w:p>
      <w:pPr/>
      <w:r>
        <w:rPr>
          <w:lang w:val="zh_TW" w:bidi="zh_TW"/>
        </w:rPr>
      </w:r>
      <w:r>
        <w:rPr>
          <w:lang w:val="zh_TW" w:bidi="zh_TW"/>
        </w:rPr>
        <w:t>當保羅離開哥林多時，他帶著百基拉和亞居拉同行，並將他們留在以弗所（</w:t>
      </w:r>
      <w:r>
        <w:rPr>
          <w:lang w:val="zh_TW" w:bidi="zh_TW"/>
        </w:rPr>
        <w:t>徒18:18–19</w:t>
      </w:r>
      <w:r>
        <w:rPr>
          <w:lang w:val="zh_TW" w:bidi="zh_TW"/>
        </w:rPr>
        <w:t>），而自己則繼續前往耶路撒冷和安提阿。後來，亞波羅來到以弗所，在會堂裡熱心傳講耶穌的事蹟。百基拉和亞居拉將他帶到一旁，更詳細向他解釋耶穌的真理。在他們的幫助下，亞波羅成為了一位有能力的教師，積極傳揚耶穌的福音，並為基督信仰辯護（</w:t>
      </w:r>
      <w:r>
        <w:rPr>
          <w:lang w:val="zh_TW" w:bidi="zh_TW"/>
        </w:rPr>
        <w:t>徒18:24–28</w:t>
      </w:r>
      <w:r>
        <w:rPr>
          <w:lang w:val="zh_TW" w:bidi="zh_TW"/>
        </w:rPr>
        <w:t>）。</w:t>
      </w:r>
    </w:p>
    <w:p>
      <w:pPr/>
      <w:r>
        <w:rPr>
          <w:lang w:val="zh_TW" w:bidi="zh_TW"/>
        </w:rPr>
      </w:r>
      <w:r>
        <w:rPr>
          <w:lang w:val="zh_TW" w:bidi="zh_TW"/>
        </w:rPr>
        <w:t>後來，保羅提到百基拉和亞居拉的家，是以弗所基督徒聚會的場所。他在給哥林多教會的書信中，也送上他們的問候（</w:t>
      </w:r>
      <w:r>
        <w:rPr>
          <w:lang w:val="zh_TW" w:bidi="zh_TW"/>
        </w:rPr>
        <w:t>林前16:19</w:t>
      </w:r>
      <w:r>
        <w:rPr>
          <w:lang w:val="zh_TW" w:bidi="zh_TW"/>
        </w:rPr>
        <w:t>；另見</w:t>
      </w:r>
      <w:r>
        <w:rPr>
          <w:lang w:val="zh_TW" w:bidi="zh_TW"/>
        </w:rPr>
        <w:t>提後4:19</w:t>
      </w:r>
      <w:r>
        <w:rPr>
          <w:lang w:val="zh_TW" w:bidi="zh_TW"/>
        </w:rPr>
        <w:t>）。他們似乎後來返回羅馬，可能是在克勞第的法令放寬之後。當保羅寫信給羅馬教會時，首先向他們問安（</w:t>
      </w:r>
      <w:r>
        <w:rPr>
          <w:lang w:val="zh_TW" w:bidi="zh_TW"/>
        </w:rPr>
        <w:t>羅16:3–5</w:t>
      </w:r>
      <w:r>
        <w:rPr>
          <w:lang w:val="zh_TW" w:bidi="zh_TW"/>
        </w:rPr>
        <w:t>）。他們在羅馬的家也成為信徒聚集的場所。保羅顯然與他們有深厚的友誼，並高度評價他們為耶穌所做的工。他稱他們「在基督耶穌裡與我同工」，並提到他們曾為了他而冒生命危險。</w:t>
      </w:r>
    </w:p>
    <w:p>
      <w:pPr/>
      <w:r>
        <w:rPr>
          <w:lang w:val="zh_TW" w:bidi="zh_TW"/>
        </w:rPr>
      </w:r>
      <w:r>
        <w:rPr>
          <w:lang w:val="zh_TW" w:bidi="zh_TW"/>
        </w:rPr>
        <w:t>百基拉和亞居拉是早期的基督徒，他們在日常生活與工作中勇敢分享信仰，並且是委身於耶穌的夫婦，積極服事他人。值得注意的是，百基拉的名字常被放在前面，這在當時並不常見，可能顯示她在他們的事工與見證中。扮演重要的角色。</w:t>
      </w:r>
    </w:p>
    <w:p>
      <w:pPr/>
      <w:r>
        <w:rPr>
          <w:lang w:val="zh_TW" w:bidi="zh_TW"/>
        </w:rPr>
      </w:r>
      <w:r>
        <w:rPr>
          <w:u w:val="single"/>
          <w:lang w:val="zh_TW" w:bidi="zh_TW"/>
        </w:rPr>
        <w:t>進深研究的經文段落</w:t>
      </w:r>
    </w:p>
    <w:p>
      <w:pPr/>
      <w:r>
        <w:rPr>
          <w:lang w:val="zh_TW" w:bidi="zh_TW"/>
        </w:rPr>
      </w:r>
      <w:r>
        <w:rPr>
          <w:lang w:val="zh_TW" w:bidi="zh_TW"/>
        </w:rPr>
        <w:t>徒18:1–3</w:t>
      </w:r>
      <w:r>
        <w:rPr>
          <w:lang w:val="zh_TW" w:bidi="zh_TW"/>
        </w:rPr>
        <w:t>，</w:t>
      </w:r>
      <w:r>
        <w:rPr>
          <w:lang w:val="zh_TW" w:bidi="zh_TW"/>
        </w:rPr>
        <w:t>18–19</w:t>
      </w:r>
      <w:r>
        <w:rPr>
          <w:lang w:val="zh_TW" w:bidi="zh_TW"/>
        </w:rPr>
        <w:t>，</w:t>
      </w:r>
      <w:r>
        <w:rPr>
          <w:lang w:val="zh_TW" w:bidi="zh_TW"/>
        </w:rPr>
        <w:t>24–28</w:t>
      </w:r>
      <w:r>
        <w:rPr>
          <w:lang w:val="zh_TW" w:bidi="zh_TW"/>
        </w:rPr>
        <w:t>；</w:t>
      </w:r>
      <w:r>
        <w:rPr>
          <w:lang w:val="zh_TW" w:bidi="zh_TW"/>
        </w:rPr>
        <w:t>羅16:3–5</w:t>
      </w:r>
      <w:r>
        <w:rPr>
          <w:lang w:val="zh_TW" w:bidi="zh_TW"/>
        </w:rPr>
        <w:t>；</w:t>
      </w:r>
      <w:r>
        <w:rPr>
          <w:lang w:val="zh_TW" w:bidi="zh_TW"/>
        </w:rPr>
        <w:t>林前16:19</w:t>
      </w:r>
      <w:r>
        <w:rPr>
          <w:lang w:val="zh_TW" w:bidi="zh_TW"/>
        </w:rPr>
        <w:t>；</w:t>
      </w:r>
      <w:r>
        <w:rPr>
          <w:lang w:val="zh_TW" w:bidi="zh_TW"/>
        </w:rPr>
        <w:t>提後4:19</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