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ح</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الحِثِّيِّين</w:t>
      </w:r>
      <w:r>
        <w:rPr>
          <w:rtl/>
          <w:cs/>
          <w:lang w:val="ar_AE" w:bidi="ar_AE"/>
        </w:rPr>
      </w:r>
    </w:p>
    <w:p>
      <w:pPr>
        <w:bidi/>
      </w:pPr>
      <w:r>
        <w:rPr>
          <w:rtl/>
          <w:cs/>
          <w:lang w:val="ar_AE" w:bidi="ar_AE"/>
        </w:rPr>
      </w:r>
      <w:r>
        <w:rPr>
          <w:rtl/>
          <w:cs/>
          <w:lang w:val="ar_AE" w:bidi="ar_AE"/>
        </w:rPr>
        <w:t>على مر السنين، كان الكتاب المقدس هو المصدر الوحيد الذي ذكر شعب الحثيين. وقد شكك بعض العلماء في دقة الروايات التاريخية للكتاب المقدس بشأن الحثيين، إذ كانوا يعتقدون أن الحثيين لم يكونوا شعبًا حقيقيًا. ومع ذلك، اكتشف علماء الآثار والمؤرخون بعض المعلومات عنهم.</w:t>
      </w:r>
    </w:p>
    <w:p>
      <w:pPr>
        <w:bidi/>
      </w:pPr>
      <w:r>
        <w:rPr>
          <w:rtl/>
          <w:cs/>
          <w:lang w:val="ar_AE" w:bidi="ar_AE"/>
        </w:rPr>
      </w:r>
      <w:r>
        <w:rPr>
          <w:rtl/>
          <w:cs/>
          <w:lang w:val="ar_AE" w:bidi="ar_AE"/>
        </w:rPr>
        <w:t>كانت لدى الحيثيين إمبراطورية تتمركز في آسيا الصغرى، مع عاصمتهم في حتوشا (بغازكوي الحديثة). توسعت الإمبراطورية توسعًا كبيرًا لأن مدنًا كثيرة وقّعت اتفاقيات لاتّباع حكمها. لم تكن هذه المدن جزءًا رسميًا من أراضي الإمبراطورية، لكنها كانت ملزمة بتنفيذ أوامر الإمبراطورية، وأحكامها. كانت جيوش الحيثيين قوية حتى أنها واجهت الجيوش المصرية تحت حكم رعمسيس الثاني المتكبر، الذي حكم من 1279 إلى 1213 قبل الميلاد. واجه الحيثيون رعمسيس الثاني في معركة قادش على نهر العاصي حوالي 1274 قبل الميلاد. لم يحقق أي من الجانبين النصر في المعركة. في زمن إبراهيم وآباء إسرائيل الأولين، كان الشعب الحيثي يسيطر على مدن في كنعان، مثل حبرون.</w:t>
      </w:r>
    </w:p>
    <w:p>
      <w:pPr>
        <w:bidi/>
      </w:pPr>
      <w:r>
        <w:rPr>
          <w:rtl/>
          <w:cs/>
          <w:lang w:val="ar_AE" w:bidi="ar_AE"/>
        </w:rPr>
      </w:r>
      <w:r>
        <w:rPr>
          <w:rtl/>
          <w:cs/>
          <w:lang w:val="ar_AE" w:bidi="ar_AE"/>
        </w:rPr>
        <w:t>حِثّ</w:t>
      </w:r>
      <w:r>
        <w:rPr>
          <w:rtl/>
          <w:cs/>
          <w:lang w:val="ar_AE" w:bidi="ar_AE"/>
        </w:rPr>
        <w:t>، سلف الحِثِّيِّين، هو الابن الثاني لكنعان في "قائمة الأمم" (</w:t>
      </w:r>
      <w:r>
        <w:rPr>
          <w:rtl/>
          <w:cs/>
          <w:lang w:val="ar_AE" w:bidi="ar_AE"/>
        </w:rPr>
        <w:t>تكوين 10:15</w:t>
      </w:r>
      <w:r>
        <w:rPr>
          <w:rtl/>
          <w:cs/>
          <w:lang w:val="ar_AE" w:bidi="ar_AE"/>
        </w:rPr>
        <w:t xml:space="preserve">؛ انظر أيضًا </w:t>
      </w:r>
      <w:r>
        <w:rPr>
          <w:rtl/>
          <w:cs/>
          <w:lang w:val="ar_AE" w:bidi="ar_AE"/>
        </w:rPr>
        <w:t>1أخبار الأيام 1:13</w:t>
      </w:r>
      <w:r>
        <w:rPr>
          <w:rtl/>
          <w:cs/>
          <w:lang w:val="ar_AE" w:bidi="ar_AE"/>
        </w:rPr>
        <w:t xml:space="preserve"> والحاشية هناك). ترد معظم الإشارات إلى أبناء الحثيين في قصة شراء إبراهيم لمغارة المكفيلة (</w:t>
      </w:r>
      <w:r>
        <w:rPr>
          <w:rtl/>
          <w:cs/>
          <w:lang w:val="ar_AE" w:bidi="ar_AE"/>
        </w:rPr>
        <w:t>تكوين 23</w:t>
      </w:r>
      <w:r>
        <w:rPr>
          <w:rtl/>
          <w:cs/>
          <w:lang w:val="ar_AE" w:bidi="ar_AE"/>
        </w:rPr>
        <w:t>). لكن الله أمر بني إسرائيل فيمَا بعد بتدمير جميع الحثيين في أرض الموعد (</w:t>
      </w:r>
      <w:r>
        <w:rPr>
          <w:rtl/>
          <w:cs/>
          <w:lang w:val="ar_AE" w:bidi="ar_AE"/>
        </w:rPr>
        <w:t>تثنية 7:1–2</w:t>
      </w:r>
      <w:r>
        <w:rPr>
          <w:rtl/>
          <w:cs/>
          <w:lang w:val="ar_AE" w:bidi="ar_AE"/>
        </w:rPr>
        <w:t>). لكن بني إسرائيل لم يطيعوا الله كاملة (</w:t>
      </w:r>
      <w:r>
        <w:rPr>
          <w:rtl/>
          <w:cs/>
          <w:lang w:val="ar_AE" w:bidi="ar_AE"/>
        </w:rPr>
        <w:t>1ملوك 9:20–21</w:t>
      </w:r>
      <w:r>
        <w:rPr>
          <w:rtl/>
          <w:cs/>
          <w:lang w:val="ar_AE" w:bidi="ar_AE"/>
        </w:rPr>
        <w:t>). فكان بعض أفضل محاربي داود من الحثيين (</w:t>
      </w:r>
      <w:r>
        <w:rPr>
          <w:rtl/>
          <w:cs/>
          <w:lang w:val="ar_AE" w:bidi="ar_AE"/>
        </w:rPr>
        <w:t>1صموئيل 26:6</w:t>
      </w:r>
      <w:r>
        <w:rPr>
          <w:rtl/>
          <w:cs/>
          <w:lang w:val="ar_AE" w:bidi="ar_AE"/>
        </w:rPr>
        <w:t xml:space="preserve">؛ </w:t>
      </w:r>
      <w:r>
        <w:rPr>
          <w:rtl/>
          <w:cs/>
          <w:lang w:val="ar_AE" w:bidi="ar_AE"/>
        </w:rPr>
        <w:t>2صموئيل 11–12</w:t>
      </w:r>
      <w:r>
        <w:rPr>
          <w:rtl/>
          <w:cs/>
          <w:lang w:val="ar_AE" w:bidi="ar_AE"/>
        </w:rPr>
        <w:t>). كذلك تاجر سليمان مع ملوك الحثيين (</w:t>
      </w:r>
      <w:r>
        <w:rPr>
          <w:rtl/>
          <w:cs/>
          <w:lang w:val="ar_AE" w:bidi="ar_AE"/>
        </w:rPr>
        <w:t>1ملوك 10:29–11:1</w:t>
      </w:r>
      <w:r>
        <w:rPr>
          <w:rtl/>
          <w:cs/>
          <w:lang w:val="ar_AE" w:bidi="ar_AE"/>
        </w:rPr>
        <w:t>). يُظهر الكتاب المقدس أن الحثيين كانوا من بين الشعوب البارزة والرئيسة في الأزمنة الكتابية.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23:3–20</w:t>
      </w:r>
      <w:r>
        <w:rPr>
          <w:rtl/>
          <w:cs/>
          <w:lang w:val="ar_AE" w:bidi="ar_AE"/>
        </w:rPr>
        <w:t xml:space="preserve">؛ </w:t>
      </w:r>
      <w:r>
        <w:rPr>
          <w:rtl/>
          <w:cs/>
          <w:lang w:val="ar_AE" w:bidi="ar_AE"/>
        </w:rPr>
        <w:t>26:34–35</w:t>
      </w:r>
      <w:r>
        <w:rPr>
          <w:rtl/>
          <w:cs/>
          <w:lang w:val="ar_AE" w:bidi="ar_AE"/>
        </w:rPr>
        <w:t xml:space="preserve">؛ </w:t>
      </w:r>
      <w:r>
        <w:rPr>
          <w:rtl/>
          <w:cs/>
          <w:lang w:val="ar_AE" w:bidi="ar_AE"/>
        </w:rPr>
        <w:t>27:46–28:2</w:t>
      </w:r>
      <w:r>
        <w:rPr>
          <w:rtl/>
          <w:cs/>
          <w:lang w:val="ar_AE" w:bidi="ar_AE"/>
        </w:rPr>
        <w:t xml:space="preserve">؛ </w:t>
      </w:r>
      <w:r>
        <w:rPr>
          <w:rtl/>
          <w:cs/>
          <w:lang w:val="ar_AE" w:bidi="ar_AE"/>
        </w:rPr>
        <w:t>تثنية 7:1</w:t>
      </w:r>
      <w:r>
        <w:rPr>
          <w:rtl/>
          <w:cs/>
          <w:lang w:val="ar_AE" w:bidi="ar_AE"/>
        </w:rPr>
        <w:t xml:space="preserve">؛ </w:t>
      </w:r>
      <w:r>
        <w:rPr>
          <w:rtl/>
          <w:cs/>
          <w:lang w:val="ar_AE" w:bidi="ar_AE"/>
        </w:rPr>
        <w:t>1صموئيل 26:6</w:t>
      </w:r>
      <w:r>
        <w:rPr>
          <w:rtl/>
          <w:cs/>
          <w:lang w:val="ar_AE" w:bidi="ar_AE"/>
        </w:rPr>
        <w:t xml:space="preserve">؛ </w:t>
      </w:r>
      <w:r>
        <w:rPr>
          <w:rtl/>
          <w:cs/>
          <w:lang w:val="ar_AE" w:bidi="ar_AE"/>
        </w:rPr>
        <w:t>2صموئيل 11:2–27</w:t>
      </w:r>
      <w:r>
        <w:rPr>
          <w:rtl/>
          <w:cs/>
          <w:lang w:val="ar_AE" w:bidi="ar_AE"/>
        </w:rPr>
        <w:t xml:space="preserve">؛ </w:t>
      </w:r>
      <w:r>
        <w:rPr>
          <w:rtl/>
          <w:cs/>
          <w:lang w:val="ar_AE" w:bidi="ar_AE"/>
        </w:rPr>
        <w:t>1ملوك 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w:t>
      </w:r>
      <w:r>
        <w:rPr>
          <w:rtl/>
          <w:cs/>
          <w:lang w:val="ar_AE" w:bidi="ar_AE"/>
        </w:rPr>
      </w:r>
    </w:p>
    <w:p>
      <w:pPr>
        <w:bidi/>
      </w:pPr>
      <w:r>
        <w:rPr>
          <w:rtl/>
          <w:cs/>
          <w:lang w:val="ar_AE" w:bidi="ar_AE"/>
        </w:rPr>
      </w:r>
      <w:r>
        <w:rPr>
          <w:rtl/>
          <w:cs/>
          <w:lang w:val="ar_AE" w:bidi="ar_AE"/>
        </w:rPr>
        <w:t>كان حزقيّا أحد أفضل ملوك يهوذا، حيث حكم من 728 إلى 686 قبل الميلاد. توقف والده، آحاز، عن عبادة الله، لكن حزقيّا شجع على العبادة الحقيقية لله. أصلح أبواب الهيكل، وأعدّ اللاويين للخدمة المقدسة، وأعاد إحياء الطقوس الدينية. قدم الذبائح، واستعاد خدمة الهيكل الكهنوتية، ودعا الناس من يهوذا وإسرائيل للاحتفال بعيد الفصح في أورشليم (</w:t>
      </w:r>
      <w:r>
        <w:rPr>
          <w:rtl/>
          <w:cs/>
          <w:lang w:val="ar_AE" w:bidi="ar_AE"/>
        </w:rPr>
        <w:t>2أخبار الأيام 29–30</w:t>
      </w:r>
      <w:r>
        <w:rPr>
          <w:rtl/>
          <w:cs/>
          <w:lang w:val="ar_AE" w:bidi="ar_AE"/>
        </w:rPr>
        <w:t>). بعد الاحتفال، هدم مواقع العبادة الوثنية.</w:t>
      </w:r>
    </w:p>
    <w:p>
      <w:pPr>
        <w:bidi/>
      </w:pPr>
      <w:r>
        <w:rPr>
          <w:rtl/>
          <w:cs/>
          <w:lang w:val="ar_AE" w:bidi="ar_AE"/>
        </w:rPr>
      </w:r>
      <w:r>
        <w:rPr>
          <w:rtl/>
          <w:cs/>
          <w:lang w:val="ar_AE" w:bidi="ar_AE"/>
        </w:rPr>
        <w:t>بعد أن بدأ حزقيّا حكمه، هزم الآشوريون المملكة الشمالية بقيادة شلمنأسر الخامس، ثم لاحقًا سرجون الثاني. وطرد الآشوريون شعب المملكة الشمالية، استقدموا الأجانب في عام 722 قبل الميلاد. عندما توفي سرجون الثاني في عام 705 قبل الميلاد، تولى ابنه سنحاريب السلطة، وهو ما أدى إلى تمرد واسع النطاق. توقف حزقيّا عن دفع الجزية التي كان والده آحاز يدفعها (</w:t>
      </w:r>
      <w:r>
        <w:rPr>
          <w:rtl/>
          <w:cs/>
          <w:lang w:val="ar_AE" w:bidi="ar_AE"/>
        </w:rPr>
        <w:t>2ملوك 18:7</w:t>
      </w:r>
      <w:r>
        <w:rPr>
          <w:rtl/>
          <w:cs/>
          <w:lang w:val="ar_AE" w:bidi="ar_AE"/>
        </w:rPr>
        <w:t xml:space="preserve">؛ انظر </w:t>
      </w:r>
      <w:r>
        <w:rPr>
          <w:rtl/>
          <w:cs/>
          <w:lang w:val="ar_AE" w:bidi="ar_AE"/>
        </w:rPr>
        <w:t>16:7</w:t>
      </w:r>
      <w:r>
        <w:rPr>
          <w:rtl/>
          <w:cs/>
          <w:lang w:val="ar_AE" w:bidi="ar_AE"/>
        </w:rPr>
        <w:t>). نتيجة لذلك، في عام 701 قبل الميلاد، غزا سنحاريب يهوذا. حاول حزقيّا استرضاء الحاكم الآشوري بجزية كبيرة، لكنه لم ينجح. هددت القوات الآشورية أورشليم وسخرت من ثقة حزقيّا في الرب (</w:t>
      </w:r>
      <w:r>
        <w:rPr>
          <w:rtl/>
          <w:cs/>
          <w:lang w:val="ar_AE" w:bidi="ar_AE"/>
        </w:rPr>
        <w:t>2 ملوك 18:17–35</w:t>
      </w:r>
      <w:r>
        <w:rPr>
          <w:rtl/>
          <w:cs/>
          <w:lang w:val="ar_AE" w:bidi="ar_AE"/>
        </w:rPr>
        <w:t>). كانت ردة فعل حزقيّا هي الحزن والنواح والصلاة. لكن الرب طمأن حزقيّا عن طريق إشعياء النبي، بأن صلواته قد سُمعت وأن سنحاريب لن يغزو أورشليم (</w:t>
      </w:r>
      <w:r>
        <w:rPr>
          <w:rtl/>
          <w:cs/>
          <w:lang w:val="ar_AE" w:bidi="ar_AE"/>
        </w:rPr>
        <w:t>2ملوك 19:1–34</w:t>
      </w:r>
      <w:r>
        <w:rPr>
          <w:rtl/>
          <w:cs/>
          <w:lang w:val="ar_AE" w:bidi="ar_AE"/>
        </w:rPr>
        <w:t>).</w:t>
      </w:r>
    </w:p>
    <w:p>
      <w:pPr>
        <w:bidi/>
      </w:pPr>
      <w:r>
        <w:rPr>
          <w:rtl/>
          <w:cs/>
          <w:lang w:val="ar_AE" w:bidi="ar_AE"/>
        </w:rPr>
      </w:r>
      <w:r>
        <w:rPr>
          <w:rtl/>
          <w:cs/>
          <w:lang w:val="ar_AE" w:bidi="ar_AE"/>
        </w:rPr>
        <w:t>قرابة ذلك الوقت، أصيب حزقيّا بمرض عُضال (</w:t>
      </w:r>
      <w:r>
        <w:rPr>
          <w:rtl/>
          <w:cs/>
          <w:lang w:val="ar_AE" w:bidi="ar_AE"/>
        </w:rPr>
        <w:t>2ملوك 20:1–11</w:t>
      </w:r>
      <w:r>
        <w:rPr>
          <w:rtl/>
          <w:cs/>
          <w:lang w:val="ar_AE" w:bidi="ar_AE"/>
        </w:rPr>
        <w:t>). وأخبره إشعياء أن يستعد للموت، لكن حزقيّا توجه إلى الرب بالصلاة طلبًا للشفاء. وعده الرب بإضافة خمسة عشر عامًا إلى عمره، والنجاة من يد الآشوريين. بعد أن نال حزقيّا الشفاء من الرب، استضاف حزقيّا بلا حكمة الملك البابلي مرودخ-بلادان في قصره. وأراه خزائن الهيكل، وطلب الدعم من بابل، عوضًا عن الاعتماد على الرب. تنبأ إشعياء النبي بنهب كل هذه الخزائن وحملها إلى بابل (</w:t>
      </w:r>
      <w:r>
        <w:rPr>
          <w:rtl/>
          <w:cs/>
          <w:lang w:val="ar_AE" w:bidi="ar_AE"/>
        </w:rPr>
        <w:t>2ملوك 20:12–19</w:t>
      </w:r>
      <w:r>
        <w:rPr>
          <w:rtl/>
          <w:cs/>
          <w:lang w:val="ar_AE" w:bidi="ar_AE"/>
        </w:rPr>
        <w:t>).</w:t>
      </w:r>
    </w:p>
    <w:p>
      <w:pPr>
        <w:bidi/>
      </w:pPr>
      <w:r>
        <w:rPr>
          <w:rtl/>
          <w:cs/>
          <w:lang w:val="ar_AE" w:bidi="ar_AE"/>
        </w:rPr>
      </w:r>
      <w:r>
        <w:rPr>
          <w:rtl/>
          <w:cs/>
          <w:lang w:val="ar_AE" w:bidi="ar_AE"/>
        </w:rPr>
        <w:t xml:space="preserve">بعد التهديد الآشوري في عام 701 قبل الميلاد، نعم حزقيّا بسنوات من السلام والنجاح. وتوفي في عام 686 قبل الميلاد، وخلفه ابنه منسّى.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2ملوك 18:1–20:21</w:t>
      </w:r>
      <w:r>
        <w:rPr>
          <w:rtl/>
          <w:cs/>
          <w:lang w:val="ar_AE" w:bidi="ar_AE"/>
        </w:rPr>
        <w:t xml:space="preserve">؛ </w:t>
      </w:r>
      <w:r>
        <w:rPr>
          <w:rtl/>
          <w:cs/>
          <w:lang w:val="ar_AE" w:bidi="ar_AE"/>
        </w:rPr>
        <w:t>2أخبار الأيام 28:27–32:33</w:t>
      </w:r>
      <w:r>
        <w:rPr>
          <w:rtl/>
          <w:cs/>
          <w:lang w:val="ar_AE" w:bidi="ar_AE"/>
        </w:rPr>
        <w:t xml:space="preserve">؛ </w:t>
      </w:r>
      <w:r>
        <w:rPr>
          <w:rtl/>
          <w:cs/>
          <w:lang w:val="ar_AE" w:bidi="ar_AE"/>
        </w:rPr>
        <w:t>إشعياء 36:1–39:8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حزقيال</w:t>
      </w:r>
      <w:r>
        <w:rPr>
          <w:rtl/>
          <w:cs/>
          <w:lang w:val="ar_AE" w:bidi="ar_AE"/>
        </w:rPr>
      </w:r>
    </w:p>
    <w:p>
      <w:pPr>
        <w:bidi/>
      </w:pPr>
      <w:r>
        <w:rPr>
          <w:rtl/>
          <w:cs/>
          <w:lang w:val="ar_AE" w:bidi="ar_AE"/>
        </w:rPr>
      </w:r>
      <w:r>
        <w:rPr>
          <w:rtl/>
          <w:cs/>
          <w:lang w:val="ar_AE" w:bidi="ar_AE"/>
        </w:rPr>
        <w:t>كان حزقيال كاهنًا ونبيًّا. وُلد حزقيال نحو عام 623 قبل الميلاد تقريبًا. يُرجح أنه نشأ وتربّى في أورشليم وكان متزوجًا (</w:t>
      </w:r>
      <w:r>
        <w:rPr>
          <w:rtl/>
          <w:cs/>
          <w:lang w:val="ar_AE" w:bidi="ar_AE"/>
        </w:rPr>
        <w:t>حزقيال 24:16–18</w:t>
      </w:r>
      <w:r>
        <w:rPr>
          <w:rtl/>
          <w:cs/>
          <w:lang w:val="ar_AE" w:bidi="ar_AE"/>
        </w:rPr>
        <w:t>). في عام 597 قبل الميلاد، سُبي إلى بابل مع يهوياكين، وعاش بجانب نهر خابور. ثم تلقّى دعوته نبيًّا في بابل في 31 يوليو 593 قبل الميلاد (</w:t>
      </w:r>
      <w:r>
        <w:rPr>
          <w:rtl/>
          <w:cs/>
          <w:lang w:val="ar_AE" w:bidi="ar_AE"/>
        </w:rPr>
        <w:t>حزقيال 1:1</w:t>
      </w:r>
      <w:r>
        <w:rPr>
          <w:rtl/>
          <w:cs/>
          <w:lang w:val="ar_AE" w:bidi="ar_AE"/>
        </w:rPr>
        <w:t xml:space="preserve">). ومن طيات صفحات السفر الذي يحمل اسمه يمكننا أن نتعلم عن حياته الشخصية. </w:t>
      </w:r>
    </w:p>
    <w:p>
      <w:pPr>
        <w:bidi/>
      </w:pPr>
      <w:r>
        <w:rPr>
          <w:rtl/>
          <w:cs/>
          <w:lang w:val="ar_AE" w:bidi="ar_AE"/>
        </w:rPr>
      </w:r>
      <w:r>
        <w:rPr>
          <w:rtl/>
          <w:cs/>
          <w:lang w:val="ar_AE" w:bidi="ar_AE"/>
        </w:rPr>
        <w:t xml:space="preserve">لطالما لجأ حزقيال لعمل أفعال غير مألوفة، وذلك لتأكيد رسائله النبوية من الله. على سبيل المثال، أظهر حزقيال العجز الشديد في الغذاء في وقت الحصار الأخير لأورشليم بتناوله طعامًا مخبوزًا على خثي البقر (رَوْثُ </w:t>
      </w:r>
      <w:r>
        <w:rPr>
          <w:b/>
          <w:rtl/>
          <w:cs/>
          <w:lang w:val="ar_AE" w:bidi="ar_AE"/>
        </w:rPr>
        <w:t>ا</w:t>
      </w:r>
      <w:r>
        <w:rPr>
          <w:rtl/>
          <w:cs/>
          <w:lang w:val="ar_AE" w:bidi="ar_AE"/>
        </w:rPr>
        <w:t>لحيوان) (</w:t>
      </w:r>
      <w:r>
        <w:rPr>
          <w:rtl/>
          <w:cs/>
          <w:lang w:val="ar_AE" w:bidi="ar_AE"/>
        </w:rPr>
        <w:t>حزقيال 4:12</w:t>
      </w:r>
      <w:r>
        <w:rPr>
          <w:rtl/>
          <w:cs/>
          <w:lang w:val="ar_AE" w:bidi="ar_AE"/>
        </w:rPr>
        <w:t>). وفي مناسبة أخرى، ظل حزقيال يَتَّكِئُ على جنبيه مدة 430 يومًا تمثل كل يوم فيها سنة من سني خطية إسرائيل ويهوذا (</w:t>
      </w:r>
      <w:r>
        <w:rPr>
          <w:rtl/>
          <w:cs/>
          <w:lang w:val="ar_AE" w:bidi="ar_AE"/>
        </w:rPr>
        <w:t>حزقيال 4:4–7</w:t>
      </w:r>
      <w:r>
        <w:rPr>
          <w:rtl/>
          <w:cs/>
          <w:lang w:val="ar_AE" w:bidi="ar_AE"/>
        </w:rPr>
        <w:t>). عندما توفيت زوجة حزقيال فجأة، لم يُسمح له بالحزن عليها علانية (</w:t>
      </w:r>
      <w:r>
        <w:rPr>
          <w:rtl/>
          <w:cs/>
          <w:lang w:val="ar_AE" w:bidi="ar_AE"/>
        </w:rPr>
        <w:t>حزقيال 24:16–18</w:t>
      </w:r>
      <w:r>
        <w:rPr>
          <w:rtl/>
          <w:cs/>
          <w:lang w:val="ar_AE" w:bidi="ar_AE"/>
        </w:rPr>
        <w:t>)؛ إذ كانت وفاتها بمثابة إنذار خطير عما سيحدث في يهوذا (</w:t>
      </w:r>
      <w:r>
        <w:rPr>
          <w:rtl/>
          <w:cs/>
          <w:lang w:val="ar_AE" w:bidi="ar_AE"/>
        </w:rPr>
        <w:t>حزقيال 24:15–27</w:t>
      </w:r>
      <w:r>
        <w:rPr>
          <w:rtl/>
          <w:cs/>
          <w:lang w:val="ar_AE" w:bidi="ar_AE"/>
        </w:rPr>
        <w:t>). كانت أفعال حزقيال غير المألوفة بالمرة تهدف إلى لفت انتباه الناس.</w:t>
      </w:r>
    </w:p>
    <w:p>
      <w:pPr>
        <w:bidi/>
      </w:pPr>
      <w:r>
        <w:rPr>
          <w:rtl/>
          <w:cs/>
          <w:lang w:val="ar_AE" w:bidi="ar_AE"/>
        </w:rPr>
      </w:r>
      <w:r>
        <w:rPr>
          <w:rtl/>
          <w:cs/>
          <w:lang w:val="ar_AE" w:bidi="ar_AE"/>
        </w:rPr>
        <w:t>في بادئ الأمر، رفض الناس رسائل حزقيال. ومع ذلك، تبرهن صحة نبوءاته، فتوقف الشعب عن عبادة الآلهة الكاذبة المُضللة. علّم حزقيال عن القداسة والنقاء والقيامة والناموس الطقسي (الأحكام والممارسات الدينية). لقد شجعت رسالته المفعمة بالرجاء المسبيين على التمسك بأمانتهم للرب في وقت أسرهم. وبعد عودتهم، كانت سبب تشجيع لهم للتطلع إلى الاكتمال الأعظم للنبوءات.</w:t>
      </w:r>
    </w:p>
    <w:p>
      <w:pPr>
        <w:bidi/>
      </w:pPr>
      <w:r>
        <w:rPr>
          <w:rtl/>
          <w:cs/>
          <w:lang w:val="ar_AE" w:bidi="ar_AE"/>
        </w:rPr>
      </w:r>
      <w:r>
        <w:rPr>
          <w:rtl/>
          <w:cs/>
          <w:lang w:val="ar_AE" w:bidi="ar_AE"/>
        </w:rPr>
        <w:t xml:space="preserve">نحن لا نعلم كيف توفي حزقيال، ولم يُذكر في أي موضع آخر في العهد القديم. يشير العهد الجديد إلى نبوءات حزقيال أكثر من ستين مرة، ومعظمها يرد في سفر الرؤيا. تتطلع رؤيا حزقيال النبوية إلى ما وراء مستقبله القريب نحو الدينونة الأخيرة (حكم الله النهائي على جميع البشر) والرجاء العظيم بالسماء.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حزقيال2:1–10</w:t>
      </w:r>
      <w:r>
        <w:rPr>
          <w:rtl/>
          <w:cs/>
          <w:lang w:val="ar_AE" w:bidi="ar_AE"/>
        </w:rPr>
        <w:t xml:space="preserve">؛ </w:t>
      </w:r>
      <w:r>
        <w:rPr>
          <w:rtl/>
          <w:cs/>
          <w:lang w:val="ar_AE" w:bidi="ar_AE"/>
        </w:rPr>
        <w:t>24:15–27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حَنَّان وَقَيَافَا</w:t>
      </w:r>
      <w:r>
        <w:rPr>
          <w:rtl/>
          <w:cs/>
          <w:lang w:val="ar_AE" w:bidi="ar_AE"/>
        </w:rPr>
      </w:r>
    </w:p>
    <w:p>
      <w:pPr>
        <w:bidi/>
      </w:pPr>
      <w:r>
        <w:rPr>
          <w:rtl/>
          <w:cs/>
          <w:lang w:val="ar_AE" w:bidi="ar_AE"/>
        </w:rPr>
      </w:r>
      <w:r>
        <w:rPr>
          <w:rtl/>
          <w:cs/>
          <w:lang w:val="ar_AE" w:bidi="ar_AE"/>
        </w:rPr>
        <w:t xml:space="preserve">كان </w:t>
      </w:r>
      <w:r>
        <w:rPr>
          <w:rtl/>
          <w:cs/>
          <w:lang w:val="ar_AE" w:bidi="ar_AE"/>
        </w:rPr>
        <w:t xml:space="preserve">حَنَّان وَقَيَافَا </w:t>
      </w:r>
      <w:r>
        <w:rPr>
          <w:rtl/>
          <w:cs/>
          <w:lang w:val="ar_AE" w:bidi="ar_AE"/>
        </w:rPr>
        <w:t>كلهنين عظيمين في زمن يسوع، وكان لهما دور رئيس في الحكم على يسوع بالموت.</w:t>
      </w:r>
    </w:p>
    <w:p>
      <w:pPr>
        <w:bidi/>
      </w:pPr>
      <w:r>
        <w:rPr>
          <w:rtl/>
          <w:cs/>
          <w:lang w:val="ar_AE" w:bidi="ar_AE"/>
        </w:rPr>
      </w:r>
      <w:r>
        <w:rPr>
          <w:rtl/>
          <w:cs/>
          <w:lang w:val="ar_AE" w:bidi="ar_AE"/>
        </w:rPr>
        <w:t>كان حَنَّان رئيس كهنة اليهود في الفترة من عام 6 إلى 15 ميلادية. حتى بعد أن عزله حاكم يهوذا الروماني، ظل حَنَّان قويًا ومؤثرًا جدًا في المجلس الأعلى اليهودي. وكان الناس يطلقون عليه لقب "رئيس كهنة" حتى بعد مرور خمسة عشر إلى عشرين عامًا (</w:t>
      </w:r>
      <w:r>
        <w:rPr>
          <w:rtl/>
          <w:cs/>
          <w:lang w:val="ar_AE" w:bidi="ar_AE"/>
        </w:rPr>
        <w:t>لوقا 3:2</w:t>
      </w:r>
      <w:r>
        <w:rPr>
          <w:rtl/>
          <w:cs/>
          <w:lang w:val="ar_AE" w:bidi="ar_AE"/>
        </w:rPr>
        <w:t xml:space="preserve">؛ </w:t>
      </w:r>
      <w:r>
        <w:rPr>
          <w:rtl/>
          <w:cs/>
          <w:lang w:val="ar_AE" w:bidi="ar_AE"/>
        </w:rPr>
        <w:t>أعمال 4:6</w:t>
      </w:r>
      <w:r>
        <w:rPr>
          <w:rtl/>
          <w:cs/>
          <w:lang w:val="ar_AE" w:bidi="ar_AE"/>
        </w:rPr>
        <w:t>). قد يكون هذا لأن اليهود كانوا يعتقدون أن رؤساء الكهنة يحتفظون بمنصبهم مدى الحياة. أصبح خمسة من أبنائه وصهره، قَيَافَا، رؤساء كهنة من بعده. وحسب إنجيل يوحنّا، فعندما قُبضَ على يسوع، أُخذ أولًا إلى حَنَّان لاستجوابه قبل أن يُسلم إلى قَيَافَا بهدف إجراء المحاكمة الرسمية (</w:t>
      </w:r>
      <w:r>
        <w:rPr>
          <w:rtl/>
          <w:cs/>
          <w:lang w:val="ar_AE" w:bidi="ar_AE"/>
        </w:rPr>
        <w:t>يوحنّا 18:13–24</w:t>
      </w:r>
      <w:r>
        <w:rPr>
          <w:rtl/>
          <w:cs/>
          <w:lang w:val="ar_AE" w:bidi="ar_AE"/>
        </w:rPr>
        <w:t>).</w:t>
      </w:r>
    </w:p>
    <w:p>
      <w:pPr>
        <w:bidi/>
      </w:pPr>
      <w:r>
        <w:rPr>
          <w:rtl/>
          <w:cs/>
          <w:lang w:val="ar_AE" w:bidi="ar_AE"/>
        </w:rPr>
      </w:r>
      <w:r>
        <w:rPr>
          <w:rtl/>
          <w:cs/>
          <w:lang w:val="ar_AE" w:bidi="ar_AE"/>
        </w:rPr>
        <w:t>كان قَيَافَا رئيس الكهنة اليهودي من حوالي عام 18 إلى 36 ميلادية. عمل عن كثب مع حماه حنّان الذي كان مؤثرًا. جادل قَيَافَا في المجلس الأعلى بأن هلاك (أي موت) يسوع سكون أفضل من المخاطرة بهلاك الأمة كلها (</w:t>
      </w:r>
      <w:r>
        <w:rPr>
          <w:rtl/>
          <w:cs/>
          <w:lang w:val="ar_AE" w:bidi="ar_AE"/>
        </w:rPr>
        <w:t>يوحنّا 11:49–50</w:t>
      </w:r>
      <w:r>
        <w:rPr>
          <w:rtl/>
          <w:cs/>
          <w:lang w:val="ar_AE" w:bidi="ar_AE"/>
        </w:rPr>
        <w:t>). منح الله هذه الكلمات النبوية له لأنه كان رئيس الكهنة (</w:t>
      </w:r>
      <w:r>
        <w:rPr>
          <w:rtl/>
          <w:cs/>
          <w:lang w:val="ar_AE" w:bidi="ar_AE"/>
        </w:rPr>
        <w:t>يوحنّا 11:51–52</w:t>
      </w:r>
      <w:r>
        <w:rPr>
          <w:rtl/>
          <w:cs/>
          <w:lang w:val="ar_AE" w:bidi="ar_AE"/>
        </w:rPr>
        <w:t>). في أثناء محاكمة يسوع، مزق قَيَافَا ثيابه حين أعلن يسوع أنه ابن الله. فحث المجلس الأعلى على إدانة يسوع بالتجديف (</w:t>
      </w:r>
      <w:r>
        <w:rPr>
          <w:rtl/>
          <w:cs/>
          <w:lang w:val="ar_AE" w:bidi="ar_AE"/>
        </w:rPr>
        <w:t>متّى 26:57–66</w:t>
      </w:r>
      <w:r>
        <w:rPr>
          <w:rtl/>
          <w:cs/>
          <w:lang w:val="ar_AE" w:bidi="ar_AE"/>
        </w:rPr>
        <w:t>).</w:t>
      </w:r>
    </w:p>
    <w:p>
      <w:pPr>
        <w:bidi/>
      </w:pPr>
      <w:r>
        <w:rPr>
          <w:rtl/>
          <w:cs/>
          <w:lang w:val="ar_AE" w:bidi="ar_AE"/>
        </w:rPr>
      </w:r>
      <w:r>
        <w:rPr>
          <w:rtl/>
          <w:cs/>
          <w:lang w:val="ar_AE" w:bidi="ar_AE"/>
        </w:rPr>
        <w:t>بعد مدّة وجيزة من إعدام يسوع، بدأ القادة اليهود يشعرون بالقلق إزاء تزايد أتباع المسيح. لهذا استجوب حَنَّان وَقَيَافَا بطرس ويوحنا من جهة شفاء الكسيح المُقعدْ، والكرازة بقيامة الأموات (</w:t>
      </w:r>
      <w:r>
        <w:rPr>
          <w:rtl/>
          <w:cs/>
          <w:lang w:val="ar_AE" w:bidi="ar_AE"/>
        </w:rPr>
        <w:t>أعمال الرسل 4:5–7</w:t>
      </w:r>
      <w:r>
        <w:rPr>
          <w:rtl/>
          <w:cs/>
          <w:lang w:val="ar_AE" w:bidi="ar_AE"/>
        </w:rPr>
        <w:t>).</w:t>
      </w:r>
    </w:p>
    <w:p>
      <w:pPr>
        <w:bidi/>
      </w:pPr>
      <w:r>
        <w:rPr>
          <w:rtl/>
          <w:cs/>
          <w:lang w:val="ar_AE" w:bidi="ar_AE"/>
        </w:rPr>
      </w:r>
      <w:r>
        <w:rPr>
          <w:u w:val="single"/>
          <w:rtl/>
          <w:cs/>
          <w:lang w:val="ar_AE" w:bidi="ar_AE"/>
        </w:rPr>
        <w:t xml:space="preserve">مقاطع </w:t>
      </w:r>
      <w:r>
        <w:rPr>
          <w:u w:val="single"/>
          <w:rtl/>
          <w:cs/>
          <w:lang w:val="ar_AE" w:bidi="ar_AE"/>
        </w:rPr>
        <w:t>كتابية لدراسة أعمق</w:t>
      </w:r>
    </w:p>
    <w:p>
      <w:pPr>
        <w:bidi/>
      </w:pPr>
      <w:r>
        <w:rPr>
          <w:rtl/>
          <w:cs/>
          <w:lang w:val="ar_AE" w:bidi="ar_AE"/>
        </w:rPr>
      </w:r>
      <w:r>
        <w:rPr>
          <w:rtl/>
          <w:cs/>
          <w:lang w:val="ar_AE" w:bidi="ar_AE"/>
        </w:rPr>
        <w:t>متى 26:3–5،</w:t>
      </w:r>
      <w:r>
        <w:rPr>
          <w:rtl/>
          <w:cs/>
          <w:lang w:val="ar_AE" w:bidi="ar_AE"/>
        </w:rPr>
        <w:t xml:space="preserve"> </w:t>
      </w:r>
      <w:r>
        <w:rPr>
          <w:rtl/>
          <w:cs/>
          <w:lang w:val="ar_AE" w:bidi="ar_AE"/>
        </w:rPr>
        <w:t>57–67</w:t>
      </w:r>
      <w:r>
        <w:rPr>
          <w:rtl/>
          <w:cs/>
          <w:lang w:val="ar_AE" w:bidi="ar_AE"/>
        </w:rPr>
        <w:t>؛</w:t>
      </w:r>
      <w:r>
        <w:rPr>
          <w:rtl/>
          <w:cs/>
          <w:lang w:val="ar_AE" w:bidi="ar_AE"/>
        </w:rPr>
        <w:t xml:space="preserve"> </w:t>
      </w:r>
      <w:r>
        <w:rPr>
          <w:rtl/>
          <w:cs/>
          <w:lang w:val="ar_AE" w:bidi="ar_AE"/>
        </w:rPr>
        <w:t>مرقس 14:53–65</w:t>
      </w:r>
      <w:r>
        <w:rPr>
          <w:rtl/>
          <w:cs/>
          <w:lang w:val="ar_AE" w:bidi="ar_AE"/>
        </w:rPr>
        <w:t>؛</w:t>
      </w:r>
      <w:r>
        <w:rPr>
          <w:rtl/>
          <w:cs/>
          <w:lang w:val="ar_AE" w:bidi="ar_AE"/>
        </w:rPr>
        <w:t xml:space="preserve"> </w:t>
      </w:r>
      <w:r>
        <w:rPr>
          <w:rtl/>
          <w:cs/>
          <w:lang w:val="ar_AE" w:bidi="ar_AE"/>
        </w:rPr>
        <w:t>لوقا 3:2</w:t>
      </w:r>
      <w:r>
        <w:rPr>
          <w:rtl/>
          <w:cs/>
          <w:lang w:val="ar_AE" w:bidi="ar_AE"/>
        </w:rPr>
        <w:t>؛</w:t>
      </w:r>
      <w:r>
        <w:rPr>
          <w:rtl/>
          <w:cs/>
          <w:lang w:val="ar_AE" w:bidi="ar_AE"/>
        </w:rPr>
        <w:t xml:space="preserve"> </w:t>
      </w:r>
      <w:r>
        <w:rPr>
          <w:rtl/>
          <w:cs/>
          <w:lang w:val="ar_AE" w:bidi="ar_AE"/>
        </w:rPr>
        <w:t>يوحنا 11:49–53</w:t>
      </w:r>
      <w:r>
        <w:rPr>
          <w:rtl/>
          <w:cs/>
          <w:lang w:val="ar_AE" w:bidi="ar_AE"/>
        </w:rPr>
        <w:t>؛</w:t>
      </w:r>
      <w:r>
        <w:rPr>
          <w:rtl/>
          <w:cs/>
          <w:lang w:val="ar_AE" w:bidi="ar_AE"/>
        </w:rPr>
        <w:t xml:space="preserve"> </w:t>
      </w:r>
      <w:r>
        <w:rPr>
          <w:rtl/>
          <w:cs/>
          <w:lang w:val="ar_AE" w:bidi="ar_AE"/>
        </w:rPr>
        <w:t>يوحنا 18:13–28</w:t>
      </w:r>
      <w:r>
        <w:rPr>
          <w:rtl/>
          <w:cs/>
          <w:lang w:val="ar_AE" w:bidi="ar_AE"/>
        </w:rPr>
        <w:t>؛</w:t>
      </w:r>
      <w:r>
        <w:rPr>
          <w:rtl/>
          <w:cs/>
          <w:lang w:val="ar_AE" w:bidi="ar_AE"/>
        </w:rPr>
        <w:t xml:space="preserve"> </w:t>
      </w:r>
      <w:r>
        <w:rPr>
          <w:rtl/>
          <w:cs/>
          <w:lang w:val="ar_AE" w:bidi="ar_AE"/>
        </w:rPr>
        <w:t>أعمال الرسل 4:5–7.</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