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زَرُبَّابِل</w:t>
      </w:r>
      <w:r>
        <w:rPr>
          <w:rtl/>
          <w:cs/>
          <w:lang w:val="ar_AE" w:bidi="ar_AE"/>
        </w:rPr>
      </w:r>
    </w:p>
    <w:p>
      <w:pPr>
        <w:bidi/>
      </w:pPr>
      <w:r>
        <w:rPr>
          <w:rtl/>
          <w:cs/>
          <w:lang w:val="ar_AE" w:bidi="ar_AE"/>
        </w:rPr>
      </w:r>
      <w:r>
        <w:rPr>
          <w:rtl/>
          <w:cs/>
          <w:lang w:val="ar_AE" w:bidi="ar_AE"/>
        </w:rPr>
        <w:t>زربابل رجل يهودي وُلد في بابل. ثم انتقل إلى يهوذا في عام 538 قبل الميلاد حاكمًا لأورشليم تحت حكم الفُرس. سمح كورش، ملك فارس، لليهود الذين جرى سبيهم ونفيهم من يهوذا بالعودة إلى أرضهم. قاد زربابل إحدى أولى مجموعات هؤلاء المسبيين العائدين.</w:t>
      </w:r>
    </w:p>
    <w:p>
      <w:pPr>
        <w:bidi/>
      </w:pPr>
      <w:r>
        <w:rPr>
          <w:rtl/>
          <w:cs/>
          <w:lang w:val="ar_AE" w:bidi="ar_AE"/>
        </w:rPr>
      </w:r>
      <w:r>
        <w:rPr>
          <w:rtl/>
          <w:cs/>
          <w:lang w:val="ar_AE" w:bidi="ar_AE"/>
        </w:rPr>
        <w:t>وصل زربّابل إلى يهوذا لإعادة بناء الهيكل، وابتدأ أولًا بالمذبح. وبمجرد أن صار القدس جاهزًا استأُنفت العبادة بتقديم بالذبائح. ومع ذلك، أوقفت المعارضة المحلية عملية البناء. وقد تأثر اليهود بهم إذ فقدوا تركيزهم إلى أن أعاد وعظ حجّي وزكريّا تحفيزهم على البَدْء في العمل من جديد. أدّى زربّابل دورًا محوريًا في قيادة الشعب، وترتيب إعادة البناء، الذي استغرق حوالي ست سنوات، من 520 إلى 515 قبل الميلاد.</w:t>
      </w:r>
    </w:p>
    <w:p>
      <w:pPr>
        <w:bidi/>
      </w:pPr>
      <w:r>
        <w:rPr>
          <w:rtl/>
          <w:cs/>
          <w:lang w:val="ar_AE" w:bidi="ar_AE"/>
        </w:rPr>
      </w:r>
      <w:r>
        <w:rPr>
          <w:rtl/>
          <w:cs/>
          <w:lang w:val="ar_AE" w:bidi="ar_AE"/>
        </w:rPr>
        <w:t>انتظر كثيرون إنجازات عظيمة من زربّابل لأنه كان ينتمي إلى عائلة الملك داود (</w:t>
      </w:r>
      <w:r>
        <w:rPr>
          <w:rtl/>
          <w:cs/>
          <w:lang w:val="ar_AE" w:bidi="ar_AE"/>
        </w:rPr>
        <w:t>1أخبار الأيام 3:1–19</w:t>
      </w:r>
      <w:r>
        <w:rPr>
          <w:rtl/>
          <w:cs/>
          <w:lang w:val="ar_AE" w:bidi="ar_AE"/>
        </w:rPr>
        <w:t>). يصف زكريّا وحجّي زربّابل بتعبيرات مسيانية باعتباره المختار من الله لاسترداد إسرائيل (</w:t>
      </w:r>
      <w:r>
        <w:rPr>
          <w:rtl/>
          <w:cs/>
          <w:lang w:val="ar_AE" w:bidi="ar_AE"/>
        </w:rPr>
        <w:t>حجّي 2:21–23</w:t>
      </w:r>
      <w:r>
        <w:rPr>
          <w:rtl/>
          <w:cs/>
          <w:lang w:val="ar_AE" w:bidi="ar_AE"/>
        </w:rPr>
        <w:t xml:space="preserve">؛ </w:t>
      </w:r>
      <w:r>
        <w:rPr>
          <w:rtl/>
          <w:cs/>
          <w:lang w:val="ar_AE" w:bidi="ar_AE"/>
        </w:rPr>
        <w:t>زكريّا 4:6–7</w:t>
      </w:r>
      <w:r>
        <w:rPr>
          <w:rtl/>
          <w:cs/>
          <w:lang w:val="ar_AE" w:bidi="ar_AE"/>
        </w:rPr>
        <w:t>). ومع ذلك، سرعان ما اختفى زربّابل من القصة الكتابية دون توضيح. لم يكن هذا الحاكم المبكر ليهوذا هو المسيّا المًنتظر. إنما بالأحرى من سيضطلع بهذا الدور المجيد هو يسوع المسيح، أحد أحفاد زربّابل (</w:t>
      </w:r>
      <w:r>
        <w:rPr>
          <w:rtl/>
          <w:cs/>
          <w:lang w:val="ar_AE" w:bidi="ar_AE"/>
        </w:rPr>
        <w:t>متّى 1:12</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عزرا 2:1–6:22</w:t>
      </w:r>
      <w:r>
        <w:rPr>
          <w:rtl/>
          <w:cs/>
          <w:lang w:val="ar_AE" w:bidi="ar_AE"/>
        </w:rPr>
        <w:t xml:space="preserve">؛ </w:t>
      </w:r>
      <w:r>
        <w:rPr>
          <w:rtl/>
          <w:cs/>
          <w:lang w:val="ar_AE" w:bidi="ar_AE"/>
        </w:rPr>
        <w:t>نحميا 7:7</w:t>
      </w:r>
      <w:r>
        <w:rPr>
          <w:rtl/>
          <w:cs/>
          <w:lang w:val="ar_AE" w:bidi="ar_AE"/>
        </w:rPr>
        <w:t xml:space="preserve">؛ </w:t>
      </w:r>
      <w:r>
        <w:rPr>
          <w:rtl/>
          <w:cs/>
          <w:lang w:val="ar_AE" w:bidi="ar_AE"/>
        </w:rPr>
        <w:t>حجي 1:12–2:23</w:t>
      </w:r>
      <w:r>
        <w:rPr>
          <w:rtl/>
          <w:cs/>
          <w:lang w:val="ar_AE" w:bidi="ar_AE"/>
        </w:rPr>
        <w:t xml:space="preserve">؛ </w:t>
      </w:r>
      <w:r>
        <w:rPr>
          <w:rtl/>
          <w:cs/>
          <w:lang w:val="ar_AE" w:bidi="ar_AE"/>
        </w:rPr>
        <w:t>زكريا 4:1–14</w:t>
      </w:r>
      <w:r>
        <w:rPr>
          <w:rtl/>
          <w:cs/>
          <w:lang w:val="ar_AE" w:bidi="ar_AE"/>
        </w:rPr>
        <w:t xml:space="preserve">؛ </w:t>
      </w:r>
      <w:r>
        <w:rPr>
          <w:rtl/>
          <w:cs/>
          <w:lang w:val="ar_AE" w:bidi="ar_AE"/>
        </w:rPr>
        <w:t>متى 1:12.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