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Babylone</w:t>
      </w:r>
      <w:r>
        <w:rPr>
          <w:lang w:val="fr_FR" w:bidi="fr_FR"/>
        </w:rPr>
      </w:r>
    </w:p>
    <w:p>
      <w:pPr/>
      <w:r>
        <w:rPr>
          <w:lang w:val="fr_FR" w:bidi="fr_FR"/>
        </w:rPr>
      </w:r>
      <w:r>
        <w:rPr>
          <w:lang w:val="fr_FR" w:bidi="fr_FR"/>
        </w:rPr>
        <w:t>Babylone, l'une des plus anciennes cités du monde, fut le cœur vibrant de la civilisation babylonienne. Elle est souvent décrite comme un symbole d'orgueil et de rébellion des hommes contre Dieu.</w:t>
      </w:r>
    </w:p>
    <w:p>
      <w:pPr/>
      <w:r>
        <w:rPr>
          <w:lang w:val="fr_FR" w:bidi="fr_FR"/>
        </w:rPr>
      </w:r>
      <w:r>
        <w:rPr>
          <w:lang w:val="fr_FR" w:bidi="fr_FR"/>
        </w:rPr>
        <w:t>Nimrod a fondé Babylone quelques générations après le déluge (</w:t>
      </w:r>
      <w:r>
        <w:rPr>
          <w:lang w:val="fr_FR" w:bidi="fr_FR"/>
        </w:rPr>
        <w:t>Gn 10.8–10</w:t>
      </w:r>
      <w:r>
        <w:rPr>
          <w:lang w:val="fr_FR" w:bidi="fr_FR"/>
        </w:rPr>
        <w:t>). Il est considéré comme l’un des premiers grands dirigeants de l’histoire. Le nom même de Babylone dérive de Babel, qui signifie « porte de dieu » dans la langue babylonienne. C’est probablement ici que s’éleva la fameuse tour de Babel (</w:t>
      </w:r>
      <w:r>
        <w:rPr>
          <w:lang w:val="fr_FR" w:bidi="fr_FR"/>
        </w:rPr>
        <w:t>Gn 11.1–9</w:t>
      </w:r>
      <w:r>
        <w:rPr>
          <w:lang w:val="fr_FR" w:bidi="fr_FR"/>
        </w:rPr>
        <w:t>), qui illustre la tentative des hommes de forger leur identité indépendamment de leur Créateur. Abraham et sa famille quittèrent cette civilisation empreinte d’orgueil lors de leur départ depuis Ur en Chaldée, vers 2000 av. J.-C. Bien que de nombreux royaumes se soient succédé pour régner sur Babylone au fil des siècles, la ville conserva toujours son rôle de phare culturel et religieux.</w:t>
      </w:r>
    </w:p>
    <w:p>
      <w:pPr>
        <w:pStyle w:val="Heading4"/>
      </w:pPr>
      <w:r>
        <w:rPr>
          <w:lang w:val="fr_FR" w:bidi="fr_FR"/>
        </w:rPr>
        <w:t>La civilisation sumérienne (3 200–2 000 av. J.‑C.)</w:t>
      </w:r>
    </w:p>
    <w:p>
      <w:pPr/>
      <w:r>
        <w:rPr>
          <w:lang w:val="fr_FR" w:bidi="fr_FR"/>
        </w:rPr>
      </w:r>
      <w:r>
        <w:rPr>
          <w:lang w:val="fr_FR" w:bidi="fr_FR"/>
        </w:rPr>
        <w:t>La première grande civilisation en Babylonie fut celle de Sumer, située au sud de Babylone. Les Sumériens inventèrent l'écriture cunéiforme, qui influença la culture de la région mésopotamienne pendant près de trois millénaires.</w:t>
      </w:r>
    </w:p>
    <w:p>
      <w:pPr>
        <w:pStyle w:val="Heading4"/>
      </w:pPr>
      <w:r>
        <w:rPr>
          <w:lang w:val="fr_FR" w:bidi="fr_FR"/>
        </w:rPr>
        <w:t>L'empire akkadien (2 334–2 154 av. J.‑C.)</w:t>
      </w:r>
    </w:p>
    <w:p>
      <w:pPr/>
      <w:r>
        <w:rPr>
          <w:lang w:val="fr_FR" w:bidi="fr_FR"/>
        </w:rPr>
      </w:r>
      <w:r>
        <w:rPr>
          <w:lang w:val="fr_FR" w:bidi="fr_FR"/>
        </w:rPr>
        <w:t>Au nord de Babylone, le roi Sargon Ier d'Akkad, qui régna de 2339 à 2279 av. J.-C., établit la capitale d'Akkad et étendit sa domination politique et culturelle sur l'ensemble de la Mésopotamie, donnant naissance à un empire qui perdura presque deux siècles.</w:t>
      </w:r>
    </w:p>
    <w:p>
      <w:pPr>
        <w:pStyle w:val="Heading4"/>
      </w:pPr>
      <w:r>
        <w:rPr>
          <w:lang w:val="fr_FR" w:bidi="fr_FR"/>
        </w:rPr>
        <w:t>Le premier royaume babylonien (1 900–900–1 600 av. J.‑C.)</w:t>
      </w:r>
    </w:p>
    <w:p>
      <w:pPr/>
      <w:r>
        <w:rPr>
          <w:lang w:val="fr_FR" w:bidi="fr_FR"/>
        </w:rPr>
      </w:r>
      <w:r>
        <w:rPr>
          <w:lang w:val="fr_FR" w:bidi="fr_FR"/>
        </w:rPr>
        <w:t>Durant l'ère akkadienne, des nomades sémitiques originaires de Syrie, les Amoréens, s'installèrent en Babylonie. D'abord perçus par les citadins comme des barbares, ils finirent par fonder un nouveau royaume babylonien. Hammurabi, le sixième souverain de cette dynastie, régna de 1792 à 1750 av. J.-C. et étendit considérablement le royaume, bien que sa gloire ne fût que passagère : sous le règne de son fils, son successeur, le royaume déclina et ne survécut qu'un siècle de plus.</w:t>
      </w:r>
    </w:p>
    <w:p>
      <w:pPr>
        <w:pStyle w:val="Heading4"/>
      </w:pPr>
      <w:r>
        <w:rPr>
          <w:lang w:val="fr_FR" w:bidi="fr_FR"/>
        </w:rPr>
        <w:t>La domination assyrienne (900–614 av. J.‑C.)</w:t>
      </w:r>
    </w:p>
    <w:p>
      <w:pPr/>
      <w:r>
        <w:rPr>
          <w:lang w:val="fr_FR" w:bidi="fr_FR"/>
        </w:rPr>
      </w:r>
      <w:r>
        <w:rPr>
          <w:lang w:val="fr_FR" w:bidi="fr_FR"/>
        </w:rPr>
        <w:t xml:space="preserve">En 851 av. J.‑C., le roi assyrien Salmanasar III, qui régna de 858 à 824 av. J.‑C., entra à Babylone. Il traita l'ancienne ville avec respect et permit à son roi de rester en tant que vassal. Environ 150 ans plus tard, vers 705 av. J.‑C., un roi vassal babylonien nommé Berodac-Baladan mena une rébellion. Il envoya des ambassadeurs au roi Ézéchias de Juda pour obtenir du soutien (voir </w:t>
      </w:r>
      <w:r>
        <w:rPr>
          <w:lang w:val="fr_FR" w:bidi="fr_FR"/>
        </w:rPr>
        <w:t>2R 20.12–19</w:t>
      </w:r>
      <w:r>
        <w:rPr>
          <w:lang w:val="fr_FR" w:bidi="fr_FR"/>
        </w:rPr>
        <w:t xml:space="preserve"> ; </w:t>
      </w:r>
      <w:r>
        <w:rPr>
          <w:lang w:val="fr_FR" w:bidi="fr_FR"/>
        </w:rPr>
        <w:t>Ésaïe 39</w:t>
      </w:r>
      <w:r>
        <w:rPr>
          <w:lang w:val="fr_FR" w:bidi="fr_FR"/>
        </w:rPr>
        <w:t>). L'Assyrie écrasa rapidement la rébellion de Berodac-Baladan, et sa domination se poursuivit pendant encore un siècle.</w:t>
      </w:r>
    </w:p>
    <w:p>
      <w:pPr/>
      <w:r>
        <w:rPr>
          <w:lang w:val="fr_FR" w:bidi="fr_FR"/>
        </w:rPr>
      </w:r>
      <w:r>
        <w:rPr>
          <w:lang w:val="fr_FR" w:bidi="fr_FR"/>
        </w:rPr>
        <w:t xml:space="preserve">En 851 av. J.-C., le roi assyrien Salmanazar III fit son entrée à Babylone, traitant l'ancienne cité avec respect en permettant au souverain babylonien de demeurer vassal. Cependant près de 150 ans plus tard (autour de 705 av. J.-C.), un roi vassal babylonien nommé Berodac-Baladan mena une révolte et sollicita l'appui du roi Ézéchias de Juda (voir </w:t>
      </w:r>
      <w:r>
        <w:rPr>
          <w:lang w:val="fr_FR" w:bidi="fr_FR"/>
        </w:rPr>
        <w:t xml:space="preserve">2R 20.12–19 </w:t>
      </w:r>
      <w:r>
        <w:rPr>
          <w:lang w:val="fr_FR" w:bidi="fr_FR"/>
        </w:rPr>
        <w:t xml:space="preserve">; </w:t>
      </w:r>
      <w:r>
        <w:rPr>
          <w:lang w:val="fr_FR" w:bidi="fr_FR"/>
        </w:rPr>
        <w:t>Es 39</w:t>
      </w:r>
      <w:r>
        <w:rPr>
          <w:lang w:val="fr_FR" w:bidi="fr_FR"/>
        </w:rPr>
        <w:t>). L'Assyrie écrasa rapidement cette insurrection, assurant sa domination pour encore un siècle.</w:t>
      </w:r>
    </w:p>
    <w:p>
      <w:pPr>
        <w:pStyle w:val="Heading4"/>
      </w:pPr>
      <w:r>
        <w:rPr>
          <w:lang w:val="fr_FR" w:bidi="fr_FR"/>
        </w:rPr>
        <w:t>L'empire néo-babylonien (612–539 av. J.‑C.)</w:t>
      </w:r>
    </w:p>
    <w:p>
      <w:pPr/>
      <w:r>
        <w:rPr>
          <w:lang w:val="fr_FR" w:bidi="fr_FR"/>
        </w:rPr>
      </w:r>
      <w:r>
        <w:rPr>
          <w:lang w:val="fr_FR" w:bidi="fr_FR"/>
        </w:rPr>
        <w:t xml:space="preserve">Le tournant décisif survint avec Nabopolassar, prince chaldéen, qui monta sur le trône de Babylone de 625 à 605 av. J.-C., mettant ainsi fin à l'Empire assyrien. Son fils, Nabuchodonosor II, régna de 605 à 562 av. J.-C. et fit de Babylone la puissance incontestée du Proche-Orient et une ville d'une grande splendeur (voir </w:t>
      </w:r>
      <w:r>
        <w:rPr>
          <w:lang w:val="fr_FR" w:bidi="fr_FR"/>
        </w:rPr>
        <w:t>Dn 1–4</w:t>
      </w:r>
      <w:r>
        <w:rPr>
          <w:lang w:val="fr_FR" w:bidi="fr_FR"/>
        </w:rPr>
        <w:t>).</w:t>
      </w:r>
    </w:p>
    <w:p>
      <w:pPr/>
      <w:r>
        <w:rPr>
          <w:lang w:val="fr_FR" w:bidi="fr_FR"/>
        </w:rPr>
      </w:r>
      <w:r>
        <w:rPr>
          <w:lang w:val="fr_FR" w:bidi="fr_FR"/>
        </w:rPr>
        <w:t xml:space="preserve">Après la mort de Nabuchodonosor, Nabonide, autrefois haut fonctionnaire travaillant auprès de gouvernements étrangers, prit la relève pour être roi de Babylone de 555 à 539 av. J.-C. Mais il régna de manière négligente sur la cité, et perdit peu à peu le soutien de celle-ci. Lorsque Cyrus II de Perse, qui régna de 559 à 530 av. J.-C., attaqua la ville en octobre 539 av. J.-C (voir </w:t>
      </w:r>
      <w:r>
        <w:rPr>
          <w:lang w:val="fr_FR" w:bidi="fr_FR"/>
        </w:rPr>
        <w:t>Dn 5.30–31</w:t>
      </w:r>
      <w:r>
        <w:rPr>
          <w:lang w:val="fr_FR" w:bidi="fr_FR"/>
        </w:rPr>
        <w:t xml:space="preserve"> et </w:t>
      </w:r>
      <w:r>
        <w:rPr>
          <w:lang w:val="fr_FR" w:bidi="fr_FR"/>
        </w:rPr>
        <w:t>note d'étude sur Dn 5.31</w:t>
      </w:r>
      <w:r>
        <w:rPr>
          <w:lang w:val="fr_FR" w:bidi="fr_FR"/>
        </w:rPr>
        <w:t>), Babylone se rendit sans combattre, ce qui marqua la fin de son indépendance.</w:t>
      </w:r>
    </w:p>
    <w:p>
      <w:pPr>
        <w:pStyle w:val="Heading4"/>
      </w:pPr>
      <w:r>
        <w:rPr>
          <w:lang w:val="fr_FR" w:bidi="fr_FR"/>
        </w:rPr>
        <w:t>L'ennemi symbolique du peuple de Dieu</w:t>
      </w:r>
    </w:p>
    <w:p>
      <w:pPr/>
      <w:r>
        <w:rPr>
          <w:lang w:val="fr_FR" w:bidi="fr_FR"/>
        </w:rPr>
      </w:r>
      <w:r>
        <w:rPr>
          <w:lang w:val="fr_FR" w:bidi="fr_FR"/>
        </w:rPr>
        <w:t xml:space="preserve">Dans 1 Pierre et l'Apocalypse, Babylone est utilisée comme une image pour parler de Rome. Rome est décrite comme « </w:t>
      </w:r>
      <w:r>
        <w:rPr>
          <w:lang w:val="fr_FR" w:bidi="fr_FR"/>
        </w:rPr>
        <w:t xml:space="preserve">Babylone la grande, la mère des impudiques et des abominations de la terre </w:t>
      </w:r>
      <w:r>
        <w:rPr>
          <w:lang w:val="fr_FR" w:bidi="fr_FR"/>
        </w:rPr>
        <w:t>» (</w:t>
      </w:r>
      <w:r>
        <w:rPr>
          <w:lang w:val="fr_FR" w:bidi="fr_FR"/>
        </w:rPr>
        <w:t>Ap 17.5</w:t>
      </w:r>
      <w:r>
        <w:rPr>
          <w:lang w:val="fr_FR" w:bidi="fr_FR"/>
        </w:rPr>
        <w:t>). Elle symbolise un centre de dépravation, de richesse excessive et de commerce avide, qui domine les puissances terrestres et persécute le peuple de Dieu. La chute de cette grande cité provoquera le deuil des rois et des marchands (</w:t>
      </w:r>
      <w:r>
        <w:rPr>
          <w:lang w:val="fr_FR" w:bidi="fr_FR"/>
        </w:rPr>
        <w:t>Ap 18.9–19</w:t>
      </w:r>
      <w:r>
        <w:rPr>
          <w:lang w:val="fr_FR" w:bidi="fr_FR"/>
        </w:rPr>
        <w:t>), tandis que le peuple de Dieu célébrera la fin de son oppression, retrouvant la liberté d'adorer le Tout-Puissant.</w:t>
      </w:r>
    </w:p>
    <w:p>
      <w:pPr/>
      <w:r>
        <w:rPr>
          <w:lang w:val="fr_FR" w:bidi="fr_FR"/>
        </w:rPr>
      </w:r>
      <w:r>
        <w:rPr>
          <w:u w:val="single"/>
          <w:lang w:val="fr_FR" w:bidi="fr_FR"/>
        </w:rPr>
        <w:t>Passages pour une étude approfondie</w:t>
      </w:r>
    </w:p>
    <w:p>
      <w:pPr/>
      <w:r>
        <w:rPr>
          <w:lang w:val="fr_FR" w:bidi="fr_FR"/>
        </w:rPr>
      </w:r>
      <w:r>
        <w:rPr>
          <w:lang w:val="fr_FR" w:bidi="fr_FR"/>
        </w:rPr>
        <w:t>Genèse 10.8–9</w:t>
      </w:r>
      <w:r>
        <w:rPr>
          <w:lang w:val="fr_FR" w:bidi="fr_FR"/>
        </w:rPr>
        <w:t xml:space="preserve"> ; </w:t>
      </w:r>
      <w:r>
        <w:rPr>
          <w:lang w:val="fr_FR" w:bidi="fr_FR"/>
        </w:rPr>
        <w:t>11.1–9</w:t>
      </w:r>
      <w:r>
        <w:rPr>
          <w:lang w:val="fr_FR" w:bidi="fr_FR"/>
        </w:rPr>
        <w:t xml:space="preserve"> ; </w:t>
      </w:r>
      <w:r>
        <w:rPr>
          <w:lang w:val="fr_FR" w:bidi="fr_FR"/>
        </w:rPr>
        <w:t>2 Rois 20.12–19</w:t>
      </w:r>
      <w:r>
        <w:rPr>
          <w:lang w:val="fr_FR" w:bidi="fr_FR"/>
        </w:rPr>
        <w:t xml:space="preserve"> ; </w:t>
      </w:r>
      <w:r>
        <w:rPr>
          <w:lang w:val="fr_FR" w:bidi="fr_FR"/>
        </w:rPr>
        <w:t>24.1–25.30</w:t>
      </w:r>
      <w:r>
        <w:rPr>
          <w:lang w:val="fr_FR" w:bidi="fr_FR"/>
        </w:rPr>
        <w:t xml:space="preserve"> ; </w:t>
      </w:r>
      <w:r>
        <w:rPr>
          <w:lang w:val="fr_FR" w:bidi="fr_FR"/>
        </w:rPr>
        <w:t>Ésaïe 39</w:t>
      </w:r>
      <w:r>
        <w:rPr>
          <w:lang w:val="fr_FR" w:bidi="fr_FR"/>
        </w:rPr>
        <w:t xml:space="preserve"> ; </w:t>
      </w:r>
      <w:r>
        <w:rPr>
          <w:lang w:val="fr_FR" w:bidi="fr_FR"/>
        </w:rPr>
        <w:t>Daniel 1–5</w:t>
      </w:r>
      <w:r>
        <w:rPr>
          <w:lang w:val="fr_FR" w:bidi="fr_FR"/>
        </w:rPr>
        <w:t xml:space="preserve"> ; </w:t>
      </w:r>
      <w:r>
        <w:rPr>
          <w:lang w:val="fr_FR" w:bidi="fr_FR"/>
        </w:rPr>
        <w:t>1 Pierre 5.13</w:t>
      </w:r>
      <w:r>
        <w:rPr>
          <w:lang w:val="fr_FR" w:bidi="fr_FR"/>
        </w:rPr>
        <w:t xml:space="preserve"> ; </w:t>
      </w:r>
      <w:r>
        <w:rPr>
          <w:lang w:val="fr_FR" w:bidi="fr_FR"/>
        </w:rPr>
        <w:t>Apocalypse 14.8</w:t>
      </w:r>
      <w:r>
        <w:rPr>
          <w:lang w:val="fr_FR" w:bidi="fr_FR"/>
        </w:rPr>
        <w:t xml:space="preserve"> ; </w:t>
      </w:r>
      <w:r>
        <w:rPr>
          <w:lang w:val="fr_FR" w:bidi="fr_FR"/>
        </w:rPr>
        <w:t>16.19</w:t>
      </w:r>
      <w:r>
        <w:rPr>
          <w:lang w:val="fr_FR" w:bidi="fr_FR"/>
        </w:rPr>
        <w:t xml:space="preserve"> ; </w:t>
      </w:r>
      <w:r>
        <w:rPr>
          <w:lang w:val="fr_FR" w:bidi="fr_FR"/>
        </w:rPr>
        <w:t>17.5</w:t>
      </w:r>
      <w:r>
        <w:rPr>
          <w:lang w:val="fr_FR" w:bidi="fr_FR"/>
        </w:rPr>
        <w:t xml:space="preserve"> ; </w:t>
      </w:r>
      <w:r>
        <w:rPr>
          <w:lang w:val="fr_FR" w:bidi="fr_FR"/>
        </w:rPr>
        <w:t>18.2–21</w:t>
      </w:r>
      <w:r>
        <w:rPr>
          <w:lang w:val="fr_FR" w:bidi="fr_FR"/>
        </w:rPr>
        <w:t xml:space="preserve"> ; </w:t>
      </w:r>
      <w:r>
        <w:rPr>
          <w:lang w:val="fr_FR" w:bidi="fr_FR"/>
        </w:rPr>
        <w:t>19.2</w:t>
      </w:r>
      <w:r>
        <w:rPr>
          <w:lang w:val="fr_FR" w:bidi="fr_FR"/>
        </w:rPr>
      </w:r>
      <w:r>
        <w:rPr>
          <w:lang w:val="fr_FR" w:bidi="fr_FR"/>
        </w:rPr>
      </w:r>
    </w:p>
    <w:p>
      <w:pPr/>
      <w:r>
        <w:rPr>
          <w:lang w:val="fr_FR" w:bidi="fr_FR"/>
        </w:rPr>
      </w:r>
    </w:p>
    <w:p>
      <w:pPr>
        <w:pStyle w:val="Heading2"/>
      </w:pPr>
      <w:r>
        <w:rPr>
          <w:lang w:val="fr_FR" w:bidi="fr_FR"/>
        </w:rPr>
        <w:t>Balaam</w:t>
      </w:r>
      <w:r>
        <w:rPr>
          <w:lang w:val="fr_FR" w:bidi="fr_FR"/>
        </w:rPr>
      </w:r>
    </w:p>
    <w:p>
      <w:pPr/>
      <w:r>
        <w:rPr>
          <w:lang w:val="fr_FR" w:bidi="fr_FR"/>
        </w:rPr>
      </w:r>
      <w:r>
        <w:rPr>
          <w:lang w:val="fr_FR" w:bidi="fr_FR"/>
        </w:rPr>
        <w:t xml:space="preserve">Balaam était un devin qui interprétait les signes pour prédire l'avenir, et qui accomplissait des rituels pour en modifier le cours (voir </w:t>
      </w:r>
      <w:r>
        <w:rPr>
          <w:lang w:val="fr_FR" w:bidi="fr_FR"/>
        </w:rPr>
        <w:t>note d'étude sur Nb 22.5–6</w:t>
      </w:r>
      <w:r>
        <w:rPr>
          <w:lang w:val="fr_FR" w:bidi="fr_FR"/>
        </w:rPr>
        <w:t xml:space="preserve"> ; comparer </w:t>
      </w:r>
      <w:r>
        <w:rPr>
          <w:lang w:val="fr_FR" w:bidi="fr_FR"/>
        </w:rPr>
        <w:t>Jos 13.22</w:t>
      </w:r>
      <w:r>
        <w:rPr>
          <w:lang w:val="fr_FR" w:bidi="fr_FR"/>
        </w:rPr>
        <w:t>). Motivée par l'appât du gain, il se réjouit lorsque Balak, le roi de Moab, l'engagea pour maudire Israël. Même lorsque Dieu lui ordonna de ne pas s'y rendre, Balaam espérait secrètement que le Seigneur changerait d'avis, tant il aimait l'argent (</w:t>
      </w:r>
      <w:r>
        <w:rPr>
          <w:lang w:val="fr_FR" w:bidi="fr_FR"/>
        </w:rPr>
        <w:t>2P 2.15</w:t>
      </w:r>
      <w:r>
        <w:rPr>
          <w:lang w:val="fr_FR" w:bidi="fr_FR"/>
        </w:rPr>
        <w:t>).</w:t>
      </w:r>
    </w:p>
    <w:p>
      <w:pPr/>
      <w:r>
        <w:rPr>
          <w:lang w:val="fr_FR" w:bidi="fr_FR"/>
        </w:rPr>
      </w:r>
      <w:r>
        <w:rPr>
          <w:lang w:val="fr_FR" w:bidi="fr_FR"/>
        </w:rPr>
        <w:t>Dieu permis finalement à Balaam de partir, à condition qu'il ne prononce que les paroles que Dieu lui adressait, contrecarrant ainsi les projets de Balak (</w:t>
      </w:r>
      <w:r>
        <w:rPr>
          <w:lang w:val="fr_FR" w:bidi="fr_FR"/>
        </w:rPr>
        <w:t>Dt 23.4–5</w:t>
      </w:r>
      <w:r>
        <w:rPr>
          <w:lang w:val="fr_FR" w:bidi="fr_FR"/>
        </w:rPr>
        <w:t>). Sur le chemin, l'âne de Balaam s'arrêta obstinément, refusant d'avancer, car l'ange du Seigneur bloquait le passage. L'animal, doté d'une clairvoyance que Balaam ne possédait pas, pouvait percevoir la présence divine. Le devin, quant à lui, choisit finalement de ne pas maudire Israël lorsque Dieu lui ordonna de les bénir. À la grande consternation de Balak, bénir les enfants d'Israël était tout ce que Balaam pouvait faire.</w:t>
      </w:r>
    </w:p>
    <w:p>
      <w:pPr/>
      <w:r>
        <w:rPr>
          <w:lang w:val="fr_FR" w:bidi="fr_FR"/>
        </w:rPr>
      </w:r>
      <w:r>
        <w:rPr>
          <w:lang w:val="fr_FR" w:bidi="fr_FR"/>
        </w:rPr>
        <w:t xml:space="preserve">Récemment, une inscription découverte sur un mur en plâtre à Deir ‘Alla, à douze kilomètres à l'est du Jourdain (près de l'endroit où les Hébreux campaient dans le récit biblique) a fait surface. Celle-ci mentionne Balaam, fils de Beor, un devin qui a des visions durant la nuit (voir </w:t>
      </w:r>
      <w:r>
        <w:rPr>
          <w:lang w:val="fr_FR" w:bidi="fr_FR"/>
        </w:rPr>
        <w:t>Nb 22.9–12</w:t>
      </w:r>
      <w:r>
        <w:rPr>
          <w:lang w:val="fr_FR" w:bidi="fr_FR"/>
        </w:rPr>
        <w:t xml:space="preserve">, </w:t>
      </w:r>
      <w:r>
        <w:rPr>
          <w:lang w:val="fr_FR" w:bidi="fr_FR"/>
        </w:rPr>
        <w:t>20</w:t>
      </w:r>
      <w:r>
        <w:rPr>
          <w:lang w:val="fr_FR" w:bidi="fr_FR"/>
        </w:rPr>
        <w:t xml:space="preserve">). Datée de 800 à 750 av. J.-C., cette inscription non-biblique mentionne Balaam, fils de Beor, le décrivant comme un « voyant des dieux ». Le texte rapporte que ces divinités, dont certains noms font penser au terme </w:t>
      </w:r>
      <w:r>
        <w:rPr>
          <w:i/>
          <w:lang w:val="fr_FR" w:bidi="fr_FR"/>
        </w:rPr>
        <w:t>Shaddai</w:t>
      </w:r>
      <w:r>
        <w:rPr>
          <w:lang w:val="fr_FR" w:bidi="fr_FR"/>
        </w:rPr>
        <w:t xml:space="preserve"> (« Tout-Puissant » ; voir </w:t>
      </w:r>
      <w:r>
        <w:rPr>
          <w:lang w:val="fr_FR" w:bidi="fr_FR"/>
        </w:rPr>
        <w:t>Nb 24.4</w:t>
      </w:r>
      <w:r>
        <w:rPr>
          <w:lang w:val="fr_FR" w:bidi="fr_FR"/>
        </w:rPr>
        <w:t xml:space="preserve">, </w:t>
      </w:r>
      <w:r>
        <w:rPr>
          <w:lang w:val="fr_FR" w:bidi="fr_FR"/>
        </w:rPr>
        <w:t>16</w:t>
      </w:r>
      <w:r>
        <w:rPr>
          <w:lang w:val="fr_FR" w:bidi="fr_FR"/>
        </w:rPr>
        <w:t xml:space="preserve">), avaient communiqué un message à Balaam, annonçant un jugement sur le monde (voir </w:t>
      </w:r>
      <w:r>
        <w:rPr>
          <w:lang w:val="fr_FR" w:bidi="fr_FR"/>
        </w:rPr>
        <w:t>Nb 24.15–25</w:t>
      </w:r>
      <w:r>
        <w:rPr>
          <w:lang w:val="fr_FR" w:bidi="fr_FR"/>
        </w:rPr>
        <w:t>). Cette inscription est un rare témoignage extérieur à la Bible concernant un personnage biblique.</w:t>
      </w:r>
    </w:p>
    <w:p>
      <w:pPr/>
      <w:r>
        <w:rPr>
          <w:lang w:val="fr_FR" w:bidi="fr_FR"/>
        </w:rPr>
      </w:r>
      <w:r>
        <w:rPr>
          <w:lang w:val="fr_FR" w:bidi="fr_FR"/>
        </w:rPr>
        <w:t>Dans les chapitres 22 à 24 de Nombres, le caractère ambigu et les motivations complexes de Balaam se dévoilent (</w:t>
      </w:r>
      <w:r>
        <w:rPr>
          <w:lang w:val="fr_FR" w:bidi="fr_FR"/>
        </w:rPr>
        <w:t>Nb 22–24</w:t>
      </w:r>
      <w:r>
        <w:rPr>
          <w:lang w:val="fr_FR" w:bidi="fr_FR"/>
        </w:rPr>
        <w:t xml:space="preserve">). Le récit de </w:t>
      </w:r>
      <w:r>
        <w:rPr>
          <w:lang w:val="fr_FR" w:bidi="fr_FR"/>
        </w:rPr>
        <w:t>Nb 25</w:t>
      </w:r>
      <w:r>
        <w:rPr>
          <w:lang w:val="fr_FR" w:bidi="fr_FR"/>
        </w:rPr>
        <w:t xml:space="preserve"> relate comment les Israélites, en s'associant aux femmes moabites et en adorant leurs dieux, se sont écartés du Seigneur, attisant ainsi sa colère. Bien que Balaam ne soit pas explicitement mentionné dans ce passage, </w:t>
      </w:r>
      <w:r>
        <w:rPr>
          <w:lang w:val="fr_FR" w:bidi="fr_FR"/>
        </w:rPr>
        <w:t>Nb 31.16</w:t>
      </w:r>
      <w:r>
        <w:rPr>
          <w:lang w:val="fr_FR" w:bidi="fr_FR"/>
        </w:rPr>
        <w:t xml:space="preserve"> l'identifie comme étant l'instigateur de ce complot. Une fois ses visions évanouies, Balaam resta à Moab, cherchant d'autres moyens de nuire à Israël tout en poursuivant son profit personnel. Les Israélites mirent rapidement un terme à ses jours (</w:t>
      </w:r>
      <w:r>
        <w:rPr>
          <w:lang w:val="fr_FR" w:bidi="fr_FR"/>
        </w:rPr>
        <w:t>Nb 31.8</w:t>
      </w:r>
      <w:r>
        <w:rPr>
          <w:lang w:val="fr_FR" w:bidi="fr_FR"/>
        </w:rPr>
        <w:t>). Ainsi, Balaam devint tristement célèbre en tant que :</w:t>
      </w:r>
    </w:p>
    <w:p>
      <w:pPr>
        <w:pStyle w:val="ListBullet"/>
        <w:spacing w:line="240" w:lineRule="auto"/>
        <w:ind w:left="720"/>
      </w:pPr>
      <w:r>
        <w:rPr>
          <w:lang w:val="fr_FR" w:bidi="fr_FR"/>
        </w:rPr>
      </w:r>
      <w:r>
        <w:rPr>
          <w:lang w:val="fr_FR" w:bidi="fr_FR"/>
        </w:rPr>
        <w:t xml:space="preserve">Un magicien avec de mauvaises intentions (voir </w:t>
      </w:r>
      <w:r>
        <w:rPr>
          <w:lang w:val="fr_FR" w:bidi="fr_FR"/>
        </w:rPr>
        <w:t>Dt 23.4–5</w:t>
      </w:r>
      <w:r>
        <w:rPr>
          <w:lang w:val="fr_FR" w:bidi="fr_FR"/>
        </w:rPr>
        <w:t xml:space="preserve"> ; </w:t>
      </w:r>
      <w:r>
        <w:rPr>
          <w:lang w:val="fr_FR" w:bidi="fr_FR"/>
        </w:rPr>
        <w:t>Jos 13.22</w:t>
      </w:r>
      <w:r>
        <w:rPr>
          <w:lang w:val="fr_FR" w:bidi="fr_FR"/>
        </w:rPr>
        <w:t>)</w:t>
      </w:r>
    </w:p>
    <w:p>
      <w:pPr>
        <w:pStyle w:val="ListBullet"/>
        <w:spacing w:line="240" w:lineRule="auto"/>
        <w:ind w:left="720"/>
      </w:pPr>
      <w:r>
        <w:rPr>
          <w:lang w:val="fr_FR" w:bidi="fr_FR"/>
        </w:rPr>
      </w:r>
      <w:r>
        <w:rPr>
          <w:lang w:val="fr_FR" w:bidi="fr_FR"/>
        </w:rPr>
        <w:t xml:space="preserve">Un faux enseignant intéressé uniquement par l'argent (voir </w:t>
      </w:r>
      <w:r>
        <w:rPr>
          <w:lang w:val="fr_FR" w:bidi="fr_FR"/>
        </w:rPr>
        <w:t>Né 13.2</w:t>
      </w:r>
      <w:r>
        <w:rPr>
          <w:lang w:val="fr_FR" w:bidi="fr_FR"/>
        </w:rPr>
        <w:t xml:space="preserve"> ; </w:t>
      </w:r>
      <w:r>
        <w:rPr>
          <w:lang w:val="fr_FR" w:bidi="fr_FR"/>
        </w:rPr>
        <w:t>2P 2.15</w:t>
      </w:r>
      <w:r>
        <w:rPr>
          <w:lang w:val="fr_FR" w:bidi="fr_FR"/>
        </w:rPr>
        <w:t xml:space="preserve"> ; </w:t>
      </w:r>
      <w:r>
        <w:rPr>
          <w:lang w:val="fr_FR" w:bidi="fr_FR"/>
        </w:rPr>
        <w:t>Jd 1.11</w:t>
      </w:r>
      <w:r>
        <w:rPr>
          <w:lang w:val="fr_FR" w:bidi="fr_FR"/>
        </w:rPr>
        <w:t>)</w:t>
      </w:r>
    </w:p>
    <w:p>
      <w:pPr>
        <w:pStyle w:val="ListBullet"/>
        <w:spacing w:line="240" w:lineRule="auto"/>
        <w:ind w:left="720"/>
      </w:pPr>
      <w:r>
        <w:rPr>
          <w:lang w:val="fr_FR" w:bidi="fr_FR"/>
        </w:rPr>
      </w:r>
      <w:r>
        <w:rPr>
          <w:lang w:val="fr_FR" w:bidi="fr_FR"/>
        </w:rPr>
        <w:t>Quelqu'un qui a conduit Israël vers l'idolâtrie et l'immoralité (</w:t>
      </w:r>
      <w:r>
        <w:rPr>
          <w:lang w:val="fr_FR" w:bidi="fr_FR"/>
        </w:rPr>
        <w:t>Nb 31.16</w:t>
      </w:r>
      <w:r>
        <w:rPr>
          <w:lang w:val="fr_FR" w:bidi="fr_FR"/>
        </w:rPr>
        <w:t xml:space="preserve"> ; voir </w:t>
      </w:r>
      <w:r>
        <w:rPr>
          <w:lang w:val="fr_FR" w:bidi="fr_FR"/>
        </w:rPr>
        <w:t>Ap 2.14</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Nombres 22.1–25.18</w:t>
      </w:r>
      <w:r>
        <w:rPr>
          <w:lang w:val="fr_FR" w:bidi="fr_FR"/>
        </w:rPr>
        <w:t xml:space="preserve"> ; </w:t>
      </w:r>
      <w:r>
        <w:rPr>
          <w:lang w:val="fr_FR" w:bidi="fr_FR"/>
        </w:rPr>
        <w:t>31.8</w:t>
      </w:r>
      <w:r>
        <w:rPr>
          <w:lang w:val="fr_FR" w:bidi="fr_FR"/>
        </w:rPr>
        <w:t xml:space="preserve">, </w:t>
      </w:r>
      <w:r>
        <w:rPr>
          <w:lang w:val="fr_FR" w:bidi="fr_FR"/>
        </w:rPr>
        <w:t>16</w:t>
      </w:r>
      <w:r>
        <w:rPr>
          <w:lang w:val="fr_FR" w:bidi="fr_FR"/>
        </w:rPr>
        <w:t xml:space="preserve"> ; </w:t>
      </w:r>
      <w:r>
        <w:rPr>
          <w:lang w:val="fr_FR" w:bidi="fr_FR"/>
        </w:rPr>
        <w:t>Josué 13.22</w:t>
      </w:r>
      <w:r>
        <w:rPr>
          <w:lang w:val="fr_FR" w:bidi="fr_FR"/>
        </w:rPr>
        <w:t xml:space="preserve"> ; </w:t>
      </w:r>
      <w:r>
        <w:rPr>
          <w:lang w:val="fr_FR" w:bidi="fr_FR"/>
        </w:rPr>
        <w:t>2 Pierre 2.15–16</w:t>
      </w:r>
      <w:r>
        <w:rPr>
          <w:lang w:val="fr_FR" w:bidi="fr_FR"/>
        </w:rPr>
        <w:t xml:space="preserve"> ; </w:t>
      </w:r>
      <w:r>
        <w:rPr>
          <w:lang w:val="fr_FR" w:bidi="fr_FR"/>
        </w:rPr>
        <w:t>Jude 1.11</w:t>
      </w:r>
      <w:r>
        <w:rPr>
          <w:lang w:val="fr_FR" w:bidi="fr_FR"/>
        </w:rPr>
        <w:t xml:space="preserve"> ; </w:t>
      </w:r>
      <w:r>
        <w:rPr>
          <w:lang w:val="fr_FR" w:bidi="fr_FR"/>
        </w:rPr>
        <w:t>Apocalypse 2.14</w:t>
      </w:r>
      <w:r>
        <w:rPr>
          <w:lang w:val="fr_FR" w:bidi="fr_FR"/>
        </w:rPr>
      </w:r>
      <w:r>
        <w:rPr>
          <w:lang w:val="fr_FR" w:bidi="fr_FR"/>
        </w:rPr>
      </w:r>
    </w:p>
    <w:p>
      <w:pPr/>
      <w:r>
        <w:rPr>
          <w:lang w:val="fr_FR" w:bidi="fr_FR"/>
        </w:rPr>
      </w:r>
    </w:p>
    <w:p>
      <w:pPr>
        <w:pStyle w:val="Heading2"/>
      </w:pPr>
      <w:r>
        <w:rPr>
          <w:lang w:val="fr_FR" w:bidi="fr_FR"/>
        </w:rPr>
        <w:t>Barnabas</w:t>
      </w:r>
      <w:r>
        <w:rPr>
          <w:lang w:val="fr_FR" w:bidi="fr_FR"/>
        </w:rPr>
      </w:r>
    </w:p>
    <w:p>
      <w:pPr/>
      <w:r>
        <w:rPr>
          <w:lang w:val="fr_FR" w:bidi="fr_FR"/>
        </w:rPr>
      </w:r>
      <w:r>
        <w:rPr>
          <w:lang w:val="fr_FR" w:bidi="fr_FR"/>
        </w:rPr>
        <w:t>Dans le livre des Actes, Barnabas est présenté comme un responsable chrétien inspirant. Originaire de Chypre et actif au sein de l'église de Jérusalem, il se distingua par sa générosité exemplaire, apportant son aide aux membres les plus démunis (</w:t>
      </w:r>
      <w:r>
        <w:rPr>
          <w:lang w:val="fr_FR" w:bidi="fr_FR"/>
        </w:rPr>
        <w:t>Ac 4.32–37</w:t>
      </w:r>
      <w:r>
        <w:rPr>
          <w:lang w:val="fr_FR" w:bidi="fr_FR"/>
        </w:rPr>
        <w:t>). Son vrai nom était Joseph, mais il était surnommé Barnabas. Barnabas signifie « fils d'encouragement », ce qui témoigne de son caractère (</w:t>
      </w:r>
      <w:r>
        <w:rPr>
          <w:lang w:val="fr_FR" w:bidi="fr_FR"/>
        </w:rPr>
        <w:t>Ac 4.36</w:t>
      </w:r>
      <w:r>
        <w:rPr>
          <w:lang w:val="fr_FR" w:bidi="fr_FR"/>
        </w:rPr>
        <w:t>).</w:t>
      </w:r>
    </w:p>
    <w:p>
      <w:pPr/>
      <w:r>
        <w:rPr>
          <w:lang w:val="fr_FR" w:bidi="fr_FR"/>
        </w:rPr>
      </w:r>
      <w:r>
        <w:rPr>
          <w:lang w:val="fr_FR" w:bidi="fr_FR"/>
        </w:rPr>
        <w:t>Son esprit de discernement le disposa à évaluer de manière juste le renouveau qui s'opérait à Antioche (</w:t>
      </w:r>
      <w:r>
        <w:rPr>
          <w:lang w:val="fr_FR" w:bidi="fr_FR"/>
        </w:rPr>
        <w:t>Ac 11.19–22</w:t>
      </w:r>
      <w:r>
        <w:rPr>
          <w:lang w:val="fr_FR" w:bidi="fr_FR"/>
        </w:rPr>
        <w:t>). Constatant la bénédiction de Dieu sur cette communauté naissante, il encouragea les croyants à persévérer dans la foi (</w:t>
      </w:r>
      <w:r>
        <w:rPr>
          <w:lang w:val="fr_FR" w:bidi="fr_FR"/>
        </w:rPr>
        <w:t>Ac 11.23</w:t>
      </w:r>
      <w:r>
        <w:rPr>
          <w:lang w:val="fr_FR" w:bidi="fr_FR"/>
        </w:rPr>
        <w:t>). Son bon caractère était évident dans sa gentillesse, sa foi affermie, ainsi que sa vie remplie de l'Esprit (</w:t>
      </w:r>
      <w:r>
        <w:rPr>
          <w:lang w:val="fr_FR" w:bidi="fr_FR"/>
        </w:rPr>
        <w:t>Ac 11.24</w:t>
      </w:r>
      <w:r>
        <w:rPr>
          <w:lang w:val="fr_FR" w:bidi="fr_FR"/>
        </w:rPr>
        <w:t>). Ainsi, le Saint-Esprit choisit Barnabas pour participer au premier voyage missionnaire aux côtés de Saul, une mission confiée par l'église d'Antioche (</w:t>
      </w:r>
      <w:r>
        <w:rPr>
          <w:lang w:val="fr_FR" w:bidi="fr_FR"/>
        </w:rPr>
        <w:t>Ac 13.1–3</w:t>
      </w:r>
      <w:r>
        <w:rPr>
          <w:lang w:val="fr_FR" w:bidi="fr_FR"/>
        </w:rPr>
        <w:t>).</w:t>
      </w:r>
    </w:p>
    <w:p>
      <w:pPr/>
      <w:r>
        <w:rPr>
          <w:lang w:val="fr_FR" w:bidi="fr_FR"/>
        </w:rPr>
      </w:r>
      <w:r>
        <w:rPr>
          <w:lang w:val="fr_FR" w:bidi="fr_FR"/>
        </w:rPr>
        <w:t>Faisant preuve de sagesse, il se rendit à Tarse pour retrouver Saul (</w:t>
      </w:r>
      <w:r>
        <w:rPr>
          <w:lang w:val="fr_FR" w:bidi="fr_FR"/>
        </w:rPr>
        <w:t>Ac 11.25</w:t>
      </w:r>
      <w:r>
        <w:rPr>
          <w:lang w:val="fr_FR" w:bidi="fr_FR"/>
        </w:rPr>
        <w:t>), dont la prédication courageuse à Damas l'avait profondément impressionné. Par son intermédiaire, Saul (ancien persécuteur des croyants) fut présenté aux apôtres, obtint leur acceptation et se mit à prêcher courageusement à Jérusalem (</w:t>
      </w:r>
      <w:r>
        <w:rPr>
          <w:lang w:val="fr_FR" w:bidi="fr_FR"/>
        </w:rPr>
        <w:t>Ac 9.26–30</w:t>
      </w:r>
      <w:r>
        <w:rPr>
          <w:lang w:val="fr_FR" w:bidi="fr_FR"/>
        </w:rPr>
        <w:t>). Le voyage de Barnabas et Saul fut des plus fructueux : pendant une année, leur travail commun à l'église d'Antioche attira de grandes foules (</w:t>
      </w:r>
      <w:r>
        <w:rPr>
          <w:lang w:val="fr_FR" w:bidi="fr_FR"/>
        </w:rPr>
        <w:t>Ac 11.26</w:t>
      </w:r>
      <w:r>
        <w:rPr>
          <w:lang w:val="fr_FR" w:bidi="fr_FR"/>
        </w:rPr>
        <w:t>).</w:t>
      </w:r>
    </w:p>
    <w:p>
      <w:pPr/>
      <w:r>
        <w:rPr>
          <w:lang w:val="fr_FR" w:bidi="fr_FR"/>
        </w:rPr>
      </w:r>
      <w:r>
        <w:rPr>
          <w:lang w:val="fr_FR" w:bidi="fr_FR"/>
        </w:rPr>
        <w:t xml:space="preserve">La renommée de Barnabas était telle qu’à Lystre, certains allèrent jusqu’à le confondre avec Jupiter (voir </w:t>
      </w:r>
      <w:r>
        <w:rPr>
          <w:lang w:val="fr_FR" w:bidi="fr_FR"/>
        </w:rPr>
        <w:t>Ac 14.8–18</w:t>
      </w:r>
      <w:r>
        <w:rPr>
          <w:lang w:val="fr_FR" w:bidi="fr_FR"/>
        </w:rPr>
        <w:t xml:space="preserve">). Cousin et mentor de Jean-Marc (où Jean, surnommé Marc), il offrit à ce dernier une seconde chance pour devenir un responsable chrétien influent après son abandon lors d'une mission précédente (voir </w:t>
      </w:r>
      <w:r>
        <w:rPr>
          <w:lang w:val="fr_FR" w:bidi="fr_FR"/>
        </w:rPr>
        <w:t>Ac 15.36–40</w:t>
      </w:r>
      <w:r>
        <w:rPr>
          <w:lang w:val="fr_FR" w:bidi="fr_FR"/>
        </w:rPr>
        <w:t>).</w:t>
      </w:r>
    </w:p>
    <w:p>
      <w:pPr/>
      <w:r>
        <w:rPr>
          <w:lang w:val="fr_FR" w:bidi="fr_FR"/>
        </w:rPr>
      </w:r>
      <w:r>
        <w:rPr>
          <w:lang w:val="fr_FR" w:bidi="fr_FR"/>
        </w:rPr>
        <w:t>Bien que conscient des influences néfastes auxquelles chacun peut succomber, et cédant parfois à la pression pour commettre des actes qu'il savait répréhensibles (</w:t>
      </w:r>
      <w:r>
        <w:rPr>
          <w:lang w:val="fr_FR" w:bidi="fr_FR"/>
        </w:rPr>
        <w:t>Ga 2.11–13</w:t>
      </w:r>
      <w:r>
        <w:rPr>
          <w:lang w:val="fr_FR" w:bidi="fr_FR"/>
        </w:rPr>
        <w:t>), Barnabas resta pour beaucoup, et malgré certaines erreurs, un véritable « fils d’encouragement ». Sa générosité et son service désintéressé contribuèrent de manière décisive à la croissance et à l'essor de l'Église.</w:t>
      </w:r>
    </w:p>
    <w:p>
      <w:pPr/>
      <w:r>
        <w:rPr>
          <w:lang w:val="fr_FR" w:bidi="fr_FR"/>
        </w:rPr>
      </w:r>
      <w:r>
        <w:rPr>
          <w:u w:val="single"/>
          <w:lang w:val="fr_FR" w:bidi="fr_FR"/>
        </w:rPr>
        <w:t>Passages pour une étude approfondie</w:t>
      </w:r>
    </w:p>
    <w:p>
      <w:pPr/>
      <w:r>
        <w:rPr>
          <w:lang w:val="fr_FR" w:bidi="fr_FR"/>
        </w:rPr>
      </w:r>
      <w:r>
        <w:rPr>
          <w:lang w:val="fr_FR" w:bidi="fr_FR"/>
        </w:rPr>
        <w:t>Actes 4.36–37</w:t>
      </w:r>
      <w:r>
        <w:rPr>
          <w:lang w:val="fr_FR" w:bidi="fr_FR"/>
        </w:rPr>
        <w:t xml:space="preserve"> ; </w:t>
      </w:r>
      <w:r>
        <w:rPr>
          <w:lang w:val="fr_FR" w:bidi="fr_FR"/>
        </w:rPr>
        <w:t>9.26–28</w:t>
      </w:r>
      <w:r>
        <w:rPr>
          <w:lang w:val="fr_FR" w:bidi="fr_FR"/>
        </w:rPr>
        <w:t xml:space="preserve"> ; </w:t>
      </w:r>
      <w:r>
        <w:rPr>
          <w:lang w:val="fr_FR" w:bidi="fr_FR"/>
        </w:rPr>
        <w:t>11.19–30</w:t>
      </w:r>
      <w:r>
        <w:rPr>
          <w:lang w:val="fr_FR" w:bidi="fr_FR"/>
        </w:rPr>
        <w:t xml:space="preserve"> ; </w:t>
      </w:r>
      <w:r>
        <w:rPr>
          <w:lang w:val="fr_FR" w:bidi="fr_FR"/>
        </w:rPr>
        <w:t>13.1–15.40</w:t>
      </w:r>
      <w:r>
        <w:rPr>
          <w:lang w:val="fr_FR" w:bidi="fr_FR"/>
        </w:rPr>
        <w:t xml:space="preserve"> ; </w:t>
      </w:r>
      <w:r>
        <w:rPr>
          <w:lang w:val="fr_FR" w:bidi="fr_FR"/>
        </w:rPr>
        <w:t>Galates 2.1–14</w:t>
      </w:r>
      <w:r>
        <w:rPr>
          <w:lang w:val="fr_FR" w:bidi="fr_FR"/>
        </w:rPr>
      </w:r>
      <w:r>
        <w:rPr>
          <w:lang w:val="fr_FR" w:bidi="fr_FR"/>
        </w:rPr>
      </w:r>
    </w:p>
    <w:p>
      <w:pPr/>
      <w:r>
        <w:rPr>
          <w:lang w:val="fr_FR" w:bidi="fr_FR"/>
        </w:rPr>
      </w:r>
    </w:p>
    <w:p>
      <w:pPr>
        <w:pStyle w:val="Heading2"/>
      </w:pPr>
      <w:r>
        <w:rPr>
          <w:lang w:val="fr_FR" w:bidi="fr_FR"/>
        </w:rPr>
        <w:t>Baruc</w:t>
      </w:r>
      <w:r>
        <w:rPr>
          <w:lang w:val="fr_FR" w:bidi="fr_FR"/>
        </w:rPr>
      </w:r>
    </w:p>
    <w:p>
      <w:pPr/>
      <w:r>
        <w:rPr>
          <w:lang w:val="fr_FR" w:bidi="fr_FR"/>
        </w:rPr>
      </w:r>
      <w:r>
        <w:rPr>
          <w:lang w:val="fr_FR" w:bidi="fr_FR"/>
        </w:rPr>
        <w:t xml:space="preserve">Baruc, fils de Nérija, était un scribe royal à Jérusalem, exerçant les fonctions de secrétaire pour le prophète Jérémie. Son frère, Seraja, occupait le rang de </w:t>
      </w:r>
      <w:r>
        <w:rPr>
          <w:lang w:val="fr_FR" w:bidi="fr_FR"/>
        </w:rPr>
        <w:t xml:space="preserve">premier chambellan </w:t>
      </w:r>
      <w:r>
        <w:rPr>
          <w:lang w:val="fr_FR" w:bidi="fr_FR"/>
        </w:rPr>
        <w:t>au sein de l'administration de Sédécias (</w:t>
      </w:r>
      <w:r>
        <w:rPr>
          <w:lang w:val="fr_FR" w:bidi="fr_FR"/>
        </w:rPr>
        <w:t>Jr 51.59–64</w:t>
      </w:r>
      <w:r>
        <w:rPr>
          <w:lang w:val="fr_FR" w:bidi="fr_FR"/>
        </w:rPr>
        <w:t>). La famille de Baruc occupait probablement une haute position dans l'administration de Juda.</w:t>
      </w:r>
    </w:p>
    <w:p>
      <w:pPr/>
      <w:r>
        <w:rPr>
          <w:lang w:val="fr_FR" w:bidi="fr_FR"/>
        </w:rPr>
      </w:r>
      <w:r>
        <w:rPr>
          <w:lang w:val="fr_FR" w:bidi="fr_FR"/>
        </w:rPr>
        <w:t>Dans la quatrième année du règne du roi Jojakim de Juda (605 av. J.‑C.), Dieu demanda à Jérémie de mettre par écrit les messages qu'il destinait à Israël, à Juda et à d'autres nations (</w:t>
      </w:r>
      <w:r>
        <w:rPr>
          <w:lang w:val="fr_FR" w:bidi="fr_FR"/>
        </w:rPr>
        <w:t>Jr 36.1–3</w:t>
      </w:r>
      <w:r>
        <w:rPr>
          <w:lang w:val="fr_FR" w:bidi="fr_FR"/>
        </w:rPr>
        <w:t>). Jérémie sollicita alors Baruc pour consigner par écrit ces prophéties (</w:t>
      </w:r>
      <w:r>
        <w:rPr>
          <w:lang w:val="fr_FR" w:bidi="fr_FR"/>
        </w:rPr>
        <w:t>Jr 36.4</w:t>
      </w:r>
      <w:r>
        <w:rPr>
          <w:lang w:val="fr_FR" w:bidi="fr_FR"/>
        </w:rPr>
        <w:t>) et les faire lire au peuple (</w:t>
      </w:r>
      <w:r>
        <w:rPr>
          <w:lang w:val="fr_FR" w:bidi="fr_FR"/>
        </w:rPr>
        <w:t>36.8–19</w:t>
      </w:r>
      <w:r>
        <w:rPr>
          <w:lang w:val="fr_FR" w:bidi="fr_FR"/>
        </w:rPr>
        <w:t>). À l'annonce de ces paroles, Jojakim fut rempli de colère. Il fit détruire le rouleau et ordonna l'arrestation de Baruc et de Jérémie (</w:t>
      </w:r>
      <w:r>
        <w:rPr>
          <w:lang w:val="fr_FR" w:bidi="fr_FR"/>
        </w:rPr>
        <w:t>Jr 36.21–26</w:t>
      </w:r>
      <w:r>
        <w:rPr>
          <w:lang w:val="fr_FR" w:bidi="fr_FR"/>
        </w:rPr>
        <w:t>). Toutefois, les deux serviteurs du Seigneur parvinrent à se soustraire à leurs poursuivants en se cachant, et Jérémie répéta de nouveau les prophéties pendant que Baruc les écrivait (</w:t>
      </w:r>
      <w:r>
        <w:rPr>
          <w:lang w:val="fr_FR" w:bidi="fr_FR"/>
        </w:rPr>
        <w:t>Jr 36.27–32</w:t>
      </w:r>
      <w:r>
        <w:rPr>
          <w:lang w:val="fr_FR" w:bidi="fr_FR"/>
        </w:rPr>
        <w:t>).</w:t>
      </w:r>
    </w:p>
    <w:p>
      <w:pPr/>
      <w:r>
        <w:rPr>
          <w:lang w:val="fr_FR" w:bidi="fr_FR"/>
        </w:rPr>
      </w:r>
      <w:r>
        <w:rPr>
          <w:lang w:val="fr_FR" w:bidi="fr_FR"/>
        </w:rPr>
        <w:t>À la même époque, Dieu adressa à Baruc un message personnel, transmis par l'intermédiaire de Jérémie (</w:t>
      </w:r>
      <w:r>
        <w:rPr>
          <w:lang w:val="fr_FR" w:bidi="fr_FR"/>
        </w:rPr>
        <w:t>Jr 45</w:t>
      </w:r>
      <w:r>
        <w:rPr>
          <w:lang w:val="fr_FR" w:bidi="fr_FR"/>
        </w:rPr>
        <w:t xml:space="preserve">). Conscient des risques que pouvait comporter son association avec le prophète (risques qui auraient pu compromettre sa carrière ou son confort personnel), Baruc fut réconforté par une promesse de protection divine, accompagnée d'un avertissement à ne pas rechercher « de </w:t>
      </w:r>
      <w:r>
        <w:rPr>
          <w:lang w:val="fr_FR" w:bidi="fr_FR"/>
        </w:rPr>
        <w:t xml:space="preserve">grandes choses » </w:t>
      </w:r>
      <w:r>
        <w:rPr>
          <w:lang w:val="fr_FR" w:bidi="fr_FR"/>
        </w:rPr>
        <w:t>pour elles-mêmes, car la destruction de Juda était inévitable.</w:t>
      </w:r>
    </w:p>
    <w:p>
      <w:pPr/>
      <w:r>
        <w:rPr>
          <w:lang w:val="fr_FR" w:bidi="fr_FR"/>
        </w:rPr>
      </w:r>
      <w:r>
        <w:rPr>
          <w:lang w:val="fr_FR" w:bidi="fr_FR"/>
        </w:rPr>
        <w:t>Lorsque Jérusalem fut détruite en 586 av. J.-C., Baruc demeura aux côtés de Jérémie et des rares personnes qui restèrent là-bas. Son influence était telle que, lorsque des chefs rebelles envisagèrent de fuir en Égypte et que Jérémie leur dit de ne pas s'y rendre, ils reprochèrent à Baruc d'avoir influencé Jérémie (</w:t>
      </w:r>
      <w:r>
        <w:rPr>
          <w:lang w:val="fr_FR" w:bidi="fr_FR"/>
        </w:rPr>
        <w:t>Jr 42</w:t>
      </w:r>
      <w:r>
        <w:rPr>
          <w:lang w:val="fr_FR" w:bidi="fr_FR"/>
        </w:rPr>
        <w:t>). En dépit de ces mises en garde, les dissidents entraînèrent Baruc et Jérémie en Égypte (</w:t>
      </w:r>
      <w:r>
        <w:rPr>
          <w:lang w:val="fr_FR" w:bidi="fr_FR"/>
        </w:rPr>
        <w:t>Jr 43.1–7</w:t>
      </w:r>
      <w:r>
        <w:rPr>
          <w:lang w:val="fr_FR" w:bidi="fr_FR"/>
        </w:rPr>
        <w:t>). Les circonstances exactes de la mort de Baruc demeurent obscures : selon une tradition, il fut emmené à Babylone lors de l'invasion égyptienne orchestrée par Nabuchodonosor, tandis qu'une autre soutient qu'il mourut en Égypte.</w:t>
      </w:r>
    </w:p>
    <w:p>
      <w:pPr/>
      <w:r>
        <w:rPr>
          <w:lang w:val="fr_FR" w:bidi="fr_FR"/>
        </w:rPr>
      </w:r>
      <w:r>
        <w:rPr>
          <w:lang w:val="fr_FR" w:bidi="fr_FR"/>
        </w:rPr>
        <w:t>Dieu avait enjoint à Baruc de ne pas rechercher la grandeur personnelle, et il semble que ce dernier se soit éteint dans l'ombre, sans honneur particulier. Pourtant, son héritage survit à travers le livre de Jérémie, auquel il aurait largement contribué : un texte qui annonce le jugement divin tout en exprimant l'espérance d'une nouvelle alliance (</w:t>
      </w:r>
      <w:r>
        <w:rPr>
          <w:lang w:val="fr_FR" w:bidi="fr_FR"/>
        </w:rPr>
        <w:t>Jr 31.31–34</w:t>
      </w:r>
      <w:r>
        <w:rPr>
          <w:lang w:val="fr_FR" w:bidi="fr_FR"/>
        </w:rPr>
        <w:t>).</w:t>
      </w:r>
    </w:p>
    <w:p>
      <w:pPr/>
      <w:r>
        <w:rPr>
          <w:lang w:val="fr_FR" w:bidi="fr_FR"/>
        </w:rPr>
      </w:r>
      <w:r>
        <w:rPr>
          <w:lang w:val="fr_FR" w:bidi="fr_FR"/>
        </w:rPr>
        <w:t xml:space="preserve">En 1975, une empreinte en argile (appelée une </w:t>
      </w:r>
      <w:r>
        <w:rPr>
          <w:i/>
          <w:lang w:val="fr_FR" w:bidi="fr_FR"/>
        </w:rPr>
        <w:t>bulla</w:t>
      </w:r>
      <w:r>
        <w:rPr>
          <w:lang w:val="fr_FR" w:bidi="fr_FR"/>
        </w:rPr>
        <w:t xml:space="preserve">) d'un sceau appartenant à un scribe fut découverte. Ce sceau portait l'inscription « [Appartenant à] </w:t>
      </w:r>
      <w:r>
        <w:rPr>
          <w:lang w:val="fr_FR" w:bidi="fr_FR"/>
        </w:rPr>
        <w:t>Bérékia</w:t>
      </w:r>
      <w:r>
        <w:rPr>
          <w:lang w:val="fr_FR" w:bidi="fr_FR"/>
        </w:rPr>
        <w:t xml:space="preserve">, fils de Neriah, le scribe. » (Bérékia est la forme longue du nom </w:t>
      </w:r>
      <w:r>
        <w:rPr>
          <w:i/>
          <w:lang w:val="fr_FR" w:bidi="fr_FR"/>
        </w:rPr>
        <w:t>Baruc</w:t>
      </w:r>
      <w:r>
        <w:rPr>
          <w:lang w:val="fr_FR" w:bidi="fr_FR"/>
        </w:rPr>
        <w:t>) Chaque scribe et fonctionnaire possédait un sceau unique, utilisé pour sceller les documents à l'image d'une signature moderne. Le sceau était « imprimé » dans de l'argile molle pour laisser une empreinte (</w:t>
      </w:r>
      <w:r>
        <w:rPr>
          <w:i/>
          <w:lang w:val="fr_FR" w:bidi="fr_FR"/>
        </w:rPr>
        <w:t>bulla</w:t>
      </w:r>
      <w:r>
        <w:rPr>
          <w:lang w:val="fr_FR" w:bidi="fr_FR"/>
        </w:rPr>
        <w:t xml:space="preserve">), qui était attachée au document signé. La </w:t>
      </w:r>
      <w:r>
        <w:rPr>
          <w:i/>
          <w:lang w:val="fr_FR" w:bidi="fr_FR"/>
        </w:rPr>
        <w:t>bulla</w:t>
      </w:r>
      <w:r>
        <w:rPr>
          <w:lang w:val="fr_FR" w:bidi="fr_FR"/>
        </w:rPr>
        <w:t xml:space="preserve"> de Baruc date de l'époque de Jérémie et Baruc. D'autres</w:t>
      </w:r>
      <w:r>
        <w:rPr>
          <w:i/>
          <w:lang w:val="fr_FR" w:bidi="fr_FR"/>
        </w:rPr>
        <w:t xml:space="preserve"> bullae</w:t>
      </w:r>
      <w:r>
        <w:rPr>
          <w:lang w:val="fr_FR" w:bidi="fr_FR"/>
        </w:rPr>
        <w:t xml:space="preserve"> portant des noms en lien avec le récit de Jérémie ont également été trouvées, comme :</w:t>
      </w:r>
    </w:p>
    <w:p>
      <w:pPr>
        <w:pStyle w:val="ListNumber"/>
        <w:numPr>
          <w:ilvl w:val="0"/>
          <w:numId w:val="14"/>
        </w:numPr>
        <w:spacing w:line="240" w:lineRule="auto"/>
        <w:ind w:left="720"/>
      </w:pPr>
      <w:r>
        <w:rPr>
          <w:lang w:val="fr_FR" w:bidi="fr_FR"/>
        </w:rPr>
      </w:r>
      <w:r>
        <w:rPr>
          <w:lang w:val="fr_FR" w:bidi="fr_FR"/>
        </w:rPr>
        <w:t>« Guemaria fils de Schaphan » (</w:t>
      </w:r>
      <w:r>
        <w:rPr>
          <w:lang w:val="fr_FR" w:bidi="fr_FR"/>
        </w:rPr>
        <w:t>Jr 36.10–12</w:t>
      </w:r>
      <w:r>
        <w:rPr>
          <w:lang w:val="fr_FR" w:bidi="fr_FR"/>
        </w:rPr>
        <w:t xml:space="preserve">, </w:t>
      </w:r>
      <w:r>
        <w:rPr>
          <w:lang w:val="fr_FR" w:bidi="fr_FR"/>
        </w:rPr>
        <w:t>25</w:t>
      </w:r>
      <w:r>
        <w:rPr>
          <w:lang w:val="fr_FR" w:bidi="fr_FR"/>
        </w:rPr>
        <w:t>)</w:t>
      </w:r>
    </w:p>
    <w:p>
      <w:pPr>
        <w:pStyle w:val="ListNumber"/>
        <w:spacing w:line="240" w:lineRule="auto"/>
        <w:ind w:left="720"/>
      </w:pPr>
      <w:r>
        <w:rPr>
          <w:lang w:val="fr_FR" w:bidi="fr_FR"/>
        </w:rPr>
      </w:r>
      <w:r>
        <w:rPr>
          <w:lang w:val="fr_FR" w:bidi="fr_FR"/>
        </w:rPr>
        <w:t>Ismaël (</w:t>
      </w:r>
      <w:r>
        <w:rPr>
          <w:lang w:val="fr_FR" w:bidi="fr_FR"/>
        </w:rPr>
        <w:t>Jr 40.7–41.10</w:t>
      </w:r>
      <w:r>
        <w:rPr>
          <w:lang w:val="fr_FR" w:bidi="fr_FR"/>
        </w:rPr>
        <w:t>)</w:t>
      </w:r>
    </w:p>
    <w:p>
      <w:pPr/>
      <w:r>
        <w:rPr>
          <w:lang w:val="fr_FR" w:bidi="fr_FR"/>
        </w:rPr>
      </w:r>
      <w:r>
        <w:rPr>
          <w:lang w:val="fr_FR" w:bidi="fr_FR"/>
        </w:rPr>
        <w:t xml:space="preserve">La plupart des chercheurs s'accordent à dire que la </w:t>
      </w:r>
      <w:r>
        <w:rPr>
          <w:i/>
          <w:lang w:val="fr_FR" w:bidi="fr_FR"/>
        </w:rPr>
        <w:t>bulla</w:t>
      </w:r>
      <w:r>
        <w:rPr>
          <w:lang w:val="fr_FR" w:bidi="fr_FR"/>
        </w:rPr>
        <w:t xml:space="preserve"> découverte fut réalisée avec le sceau de Baruc, fournissant ainsi une preuve historique (indépendante de la Bible) de certains détails relatés dans le livre de Jérémie.</w:t>
      </w:r>
    </w:p>
    <w:p>
      <w:pPr/>
      <w:r>
        <w:rPr>
          <w:lang w:val="fr_FR" w:bidi="fr_FR"/>
        </w:rPr>
      </w:r>
      <w:r>
        <w:rPr>
          <w:u w:val="single"/>
          <w:lang w:val="fr_FR" w:bidi="fr_FR"/>
        </w:rPr>
        <w:t>Passages pour une étude approfondie</w:t>
      </w:r>
    </w:p>
    <w:p>
      <w:pPr/>
      <w:r>
        <w:rPr>
          <w:lang w:val="fr_FR" w:bidi="fr_FR"/>
        </w:rPr>
      </w:r>
      <w:r>
        <w:rPr>
          <w:lang w:val="fr_FR" w:bidi="fr_FR"/>
        </w:rPr>
        <w:t>Jérémie 32.9–15</w:t>
      </w:r>
      <w:r>
        <w:rPr>
          <w:lang w:val="fr_FR" w:bidi="fr_FR"/>
        </w:rPr>
        <w:t xml:space="preserve"> ; </w:t>
      </w:r>
      <w:r>
        <w:rPr>
          <w:lang w:val="fr_FR" w:bidi="fr_FR"/>
        </w:rPr>
        <w:t>36.1–21</w:t>
      </w:r>
      <w:r>
        <w:rPr>
          <w:lang w:val="fr_FR" w:bidi="fr_FR"/>
        </w:rPr>
        <w:t xml:space="preserve">, </w:t>
      </w:r>
      <w:r>
        <w:rPr>
          <w:lang w:val="fr_FR" w:bidi="fr_FR"/>
        </w:rPr>
        <w:t>26–32</w:t>
      </w:r>
      <w:r>
        <w:rPr>
          <w:lang w:val="fr_FR" w:bidi="fr_FR"/>
        </w:rPr>
        <w:t xml:space="preserve"> ; </w:t>
      </w:r>
      <w:r>
        <w:rPr>
          <w:lang w:val="fr_FR" w:bidi="fr_FR"/>
        </w:rPr>
        <w:t>43.1–7</w:t>
      </w:r>
      <w:r>
        <w:rPr>
          <w:lang w:val="fr_FR" w:bidi="fr_FR"/>
        </w:rPr>
        <w:t xml:space="preserve"> ; </w:t>
      </w:r>
      <w:r>
        <w:rPr>
          <w:lang w:val="fr_FR" w:bidi="fr_FR"/>
        </w:rPr>
        <w:t>45.1–5</w:t>
      </w:r>
      <w:r>
        <w:rPr>
          <w:lang w:val="fr_FR" w:bidi="fr_FR"/>
        </w:rPr>
      </w:r>
      <w:r>
        <w:rPr>
          <w:lang w:val="fr_FR" w:bidi="fr_FR"/>
        </w:rPr>
      </w:r>
    </w:p>
    <w:p>
      <w:pPr/>
      <w:r>
        <w:rPr>
          <w:lang w:val="fr_FR" w:bidi="fr_FR"/>
        </w:rPr>
      </w:r>
    </w:p>
    <w:p>
      <w:pPr>
        <w:pStyle w:val="Heading2"/>
      </w:pPr>
      <w:r>
        <w:rPr>
          <w:lang w:val="fr_FR" w:bidi="fr_FR"/>
        </w:rPr>
        <w:t>Bath-Schéba</w:t>
      </w:r>
      <w:r>
        <w:rPr>
          <w:lang w:val="fr_FR" w:bidi="fr_FR"/>
        </w:rPr>
      </w:r>
    </w:p>
    <w:p>
      <w:pPr/>
      <w:r>
        <w:rPr>
          <w:lang w:val="fr_FR" w:bidi="fr_FR"/>
        </w:rPr>
      </w:r>
      <w:r>
        <w:rPr>
          <w:lang w:val="fr_FR" w:bidi="fr_FR"/>
        </w:rPr>
        <w:t>Bath-Schéba, épouse d'Urie, était la fille d'Éliam (</w:t>
      </w:r>
      <w:r>
        <w:rPr>
          <w:lang w:val="fr_FR" w:bidi="fr_FR"/>
        </w:rPr>
        <w:t>2S 11.3</w:t>
      </w:r>
      <w:r>
        <w:rPr>
          <w:lang w:val="fr_FR" w:bidi="fr_FR"/>
        </w:rPr>
        <w:t xml:space="preserve"> ; voir aussi </w:t>
      </w:r>
      <w:r>
        <w:rPr>
          <w:lang w:val="fr_FR" w:bidi="fr_FR"/>
        </w:rPr>
        <w:t>1Ch 3.5</w:t>
      </w:r>
      <w:r>
        <w:rPr>
          <w:lang w:val="fr_FR" w:bidi="fr_FR"/>
        </w:rPr>
        <w:t>) et la petite-fille d'Achitophel, le conseiller du roi (</w:t>
      </w:r>
      <w:r>
        <w:rPr>
          <w:lang w:val="fr_FR" w:bidi="fr_FR"/>
        </w:rPr>
        <w:t>2S 15.12</w:t>
      </w:r>
      <w:r>
        <w:rPr>
          <w:lang w:val="fr_FR" w:bidi="fr_FR"/>
        </w:rPr>
        <w:t xml:space="preserve"> ; </w:t>
      </w:r>
      <w:r>
        <w:rPr>
          <w:lang w:val="fr_FR" w:bidi="fr_FR"/>
        </w:rPr>
        <w:t>23.34</w:t>
      </w:r>
      <w:r>
        <w:rPr>
          <w:lang w:val="fr_FR" w:bidi="fr_FR"/>
        </w:rPr>
        <w:t>). Son mari, Urie, était un soldat hétien. Son mari, Urie, était un soldat hétien, l’un des guerriers les plus vaillants de l’armée du roi David (</w:t>
      </w:r>
      <w:r>
        <w:rPr>
          <w:lang w:val="fr_FR" w:bidi="fr_FR"/>
        </w:rPr>
        <w:t>2S 23.39</w:t>
      </w:r>
      <w:r>
        <w:rPr>
          <w:lang w:val="fr_FR" w:bidi="fr_FR"/>
        </w:rPr>
        <w:t>).</w:t>
      </w:r>
    </w:p>
    <w:p>
      <w:pPr/>
      <w:r>
        <w:rPr>
          <w:lang w:val="fr_FR" w:bidi="fr_FR"/>
        </w:rPr>
      </w:r>
      <w:r>
        <w:rPr>
          <w:lang w:val="fr_FR" w:bidi="fr_FR"/>
        </w:rPr>
        <w:t>Un printemps, alors que David restait à Jérusalem pendant que ses troupes se préparaient pour le combat (</w:t>
      </w:r>
      <w:r>
        <w:rPr>
          <w:lang w:val="fr_FR" w:bidi="fr_FR"/>
        </w:rPr>
        <w:t>2S 11.1</w:t>
      </w:r>
      <w:r>
        <w:rPr>
          <w:lang w:val="fr_FR" w:bidi="fr_FR"/>
        </w:rPr>
        <w:t>), il alla se promena vers midi sur le toit de sa demeure et aperçut la belle Bath-Schéba qui se baignait. Séduit par son charme, il fit en sorte qu’elle soit amenée dans ses appartements privés. Il eut alors des relations sexuelles avec elle, et elle tomba enceinte (</w:t>
      </w:r>
      <w:r>
        <w:rPr>
          <w:lang w:val="fr_FR" w:bidi="fr_FR"/>
        </w:rPr>
        <w:t>2S 11.2–4</w:t>
      </w:r>
      <w:r>
        <w:rPr>
          <w:lang w:val="fr_FR" w:bidi="fr_FR"/>
        </w:rPr>
        <w:t>).</w:t>
      </w:r>
    </w:p>
    <w:p>
      <w:pPr/>
      <w:r>
        <w:rPr>
          <w:lang w:val="fr_FR" w:bidi="fr_FR"/>
        </w:rPr>
      </w:r>
      <w:r>
        <w:rPr>
          <w:lang w:val="fr_FR" w:bidi="fr_FR"/>
        </w:rPr>
        <w:t>Craignant la divulgation de son adultère, David chercha à dissimuler son forfait. Il ordonna à Joab, son général, de faire venir Urie afin que ce dernier rapporte des nouvelles du champ de bataille, espérant ainsi que le soldat rentrerait chez lui et coucherait avec sa femme. Ce stratagème visait à faire croire que l'enfant était le sien. Cependant Urie, qui s'estimait toujours en service, dormit à la porte du palais (</w:t>
      </w:r>
      <w:r>
        <w:rPr>
          <w:lang w:val="fr_FR" w:bidi="fr_FR"/>
        </w:rPr>
        <w:t>2S 11.5–13</w:t>
      </w:r>
      <w:r>
        <w:rPr>
          <w:lang w:val="fr_FR" w:bidi="fr_FR"/>
        </w:rPr>
        <w:t>)</w:t>
      </w:r>
    </w:p>
    <w:p>
      <w:pPr/>
      <w:r>
        <w:rPr>
          <w:lang w:val="fr_FR" w:bidi="fr_FR"/>
        </w:rPr>
      </w:r>
      <w:r>
        <w:rPr>
          <w:lang w:val="fr_FR" w:bidi="fr_FR"/>
        </w:rPr>
        <w:t xml:space="preserve">Interrogé sur sa manière d'agir, Urie déclara qu’il ne pouvait se retirer auprès de sa femme tant que l’arche de l’alliance et l’armée d’Israël étaient en campagne. Cette réponse jetait une lumière défavorable sur l'attitude de David. Urie n'était même pas israélite, mais il était prêt à retourner au combat en ne dormant pas auprès de sa femme (voir </w:t>
      </w:r>
      <w:r>
        <w:rPr>
          <w:lang w:val="fr_FR" w:bidi="fr_FR"/>
        </w:rPr>
        <w:t>Lv 15.16–18</w:t>
      </w:r>
      <w:r>
        <w:rPr>
          <w:lang w:val="fr_FR" w:bidi="fr_FR"/>
        </w:rPr>
        <w:t>). David, lui, est resté chez lui et a essayé de cacher son adultère. David ne se contenta pas de dissimuler son péché, il fit renvoyer Urie sur le front et ordonna à Joab de veiller à ce qu’il périsse au combat (</w:t>
      </w:r>
      <w:r>
        <w:rPr>
          <w:lang w:val="fr_FR" w:bidi="fr_FR"/>
        </w:rPr>
        <w:t>2S 11.14–25</w:t>
      </w:r>
      <w:r>
        <w:rPr>
          <w:lang w:val="fr_FR" w:bidi="fr_FR"/>
        </w:rPr>
        <w:t>). La mort d'Urie n'étouffa cependant pas la révélation du péché de David, puisque le Seigneur envoya le prophète Nathan pour le confronter. David confessa son péché et se repentit (</w:t>
      </w:r>
      <w:r>
        <w:rPr>
          <w:lang w:val="fr_FR" w:bidi="fr_FR"/>
        </w:rPr>
        <w:t xml:space="preserve">2S 12.1–14 </w:t>
      </w:r>
      <w:r>
        <w:rPr>
          <w:lang w:val="fr_FR" w:bidi="fr_FR"/>
        </w:rPr>
        <w:t xml:space="preserve">; voir aussi </w:t>
      </w:r>
      <w:r>
        <w:rPr>
          <w:lang w:val="fr_FR" w:bidi="fr_FR"/>
        </w:rPr>
        <w:t>Ps 51</w:t>
      </w:r>
      <w:r>
        <w:rPr>
          <w:lang w:val="fr_FR" w:bidi="fr_FR"/>
        </w:rPr>
        <w:t>).</w:t>
      </w:r>
    </w:p>
    <w:p>
      <w:pPr/>
      <w:r>
        <w:rPr>
          <w:lang w:val="fr_FR" w:bidi="fr_FR"/>
        </w:rPr>
      </w:r>
      <w:r>
        <w:rPr>
          <w:lang w:val="fr_FR" w:bidi="fr_FR"/>
        </w:rPr>
        <w:t>Le bébé de Bath-Schéba tomba malade et mourut, conformément à la prédiction de Nathan. Après une période de deuil, David fit de Bath-Schéba son épouse légitime. Ensemble, ils eurent plusieurs enfants, parmi lesquels se distinguent :</w:t>
      </w:r>
    </w:p>
    <w:p>
      <w:pPr>
        <w:pStyle w:val="ListBullet"/>
        <w:spacing w:line="240" w:lineRule="auto"/>
        <w:ind w:left="720"/>
      </w:pPr>
      <w:r>
        <w:rPr>
          <w:lang w:val="fr_FR" w:bidi="fr_FR"/>
        </w:rPr>
      </w:r>
      <w:r>
        <w:rPr>
          <w:lang w:val="fr_FR" w:bidi="fr_FR"/>
        </w:rPr>
        <w:t>Schimea</w:t>
      </w:r>
    </w:p>
    <w:p>
      <w:pPr>
        <w:pStyle w:val="ListBullet"/>
        <w:spacing w:line="240" w:lineRule="auto"/>
        <w:ind w:left="720"/>
      </w:pPr>
      <w:r>
        <w:rPr>
          <w:lang w:val="fr_FR" w:bidi="fr_FR"/>
        </w:rPr>
      </w:r>
      <w:r>
        <w:rPr>
          <w:lang w:val="fr_FR" w:bidi="fr_FR"/>
        </w:rPr>
        <w:t>Schobab</w:t>
      </w:r>
    </w:p>
    <w:p>
      <w:pPr>
        <w:pStyle w:val="ListBullet"/>
        <w:spacing w:line="240" w:lineRule="auto"/>
        <w:ind w:left="720"/>
      </w:pPr>
      <w:r>
        <w:rPr>
          <w:lang w:val="fr_FR" w:bidi="fr_FR"/>
        </w:rPr>
      </w:r>
      <w:r>
        <w:rPr>
          <w:lang w:val="fr_FR" w:bidi="fr_FR"/>
        </w:rPr>
        <w:t>Nathan</w:t>
      </w:r>
    </w:p>
    <w:p>
      <w:pPr>
        <w:pStyle w:val="ListBullet"/>
        <w:spacing w:line="240" w:lineRule="auto"/>
        <w:ind w:left="720"/>
      </w:pPr>
      <w:r>
        <w:rPr>
          <w:lang w:val="fr_FR" w:bidi="fr_FR"/>
        </w:rPr>
      </w:r>
      <w:r>
        <w:rPr>
          <w:lang w:val="fr_FR" w:bidi="fr_FR"/>
        </w:rPr>
        <w:t>Salomon (</w:t>
      </w:r>
      <w:r>
        <w:rPr>
          <w:lang w:val="fr_FR" w:bidi="fr_FR"/>
        </w:rPr>
        <w:t>2 Samuel 12.15–25</w:t>
      </w:r>
      <w:r>
        <w:rPr>
          <w:lang w:val="fr_FR" w:bidi="fr_FR"/>
        </w:rPr>
        <w:t xml:space="preserve"> ; </w:t>
      </w:r>
      <w:r>
        <w:rPr>
          <w:lang w:val="fr_FR" w:bidi="fr_FR"/>
        </w:rPr>
        <w:t>1Ch 3.5</w:t>
      </w:r>
      <w:r>
        <w:rPr>
          <w:lang w:val="fr_FR" w:bidi="fr_FR"/>
        </w:rPr>
        <w:t>)</w:t>
      </w:r>
    </w:p>
    <w:p>
      <w:pPr/>
      <w:r>
        <w:rPr>
          <w:lang w:val="fr_FR" w:bidi="fr_FR"/>
        </w:rPr>
      </w:r>
      <w:r>
        <w:rPr>
          <w:lang w:val="fr_FR" w:bidi="fr_FR"/>
        </w:rPr>
        <w:t>Le reste de la vie de David fut marqué par des conflits familiaux incessants, et le plus douloureux d’entre eux survint lorsque, dans ses dernières années, Bath-Schéba s’assura que son fils Salomon devînt le successeur du roi (</w:t>
      </w:r>
      <w:r>
        <w:rPr>
          <w:lang w:val="fr_FR" w:bidi="fr_FR"/>
        </w:rPr>
        <w:t>1R 1.1–53</w:t>
      </w:r>
      <w:r>
        <w:rPr>
          <w:lang w:val="fr_FR" w:bidi="fr_FR"/>
        </w:rPr>
        <w:t>).</w:t>
      </w:r>
    </w:p>
    <w:p>
      <w:pPr/>
      <w:r>
        <w:rPr>
          <w:lang w:val="fr_FR" w:bidi="fr_FR"/>
        </w:rPr>
      </w:r>
      <w:r>
        <w:rPr>
          <w:lang w:val="fr_FR" w:bidi="fr_FR"/>
        </w:rPr>
        <w:t>Lorsque Matthieu retrace la généalogie de Jésus, le Messie, il mentionne à la fois Salomon et Bath-Schéba, la désignant ainsi comme « la femme d’Urie » (</w:t>
      </w:r>
      <w:r>
        <w:rPr>
          <w:lang w:val="fr_FR" w:bidi="fr_FR"/>
        </w:rPr>
        <w:t>Mt 1.6</w:t>
      </w:r>
      <w:r>
        <w:rPr>
          <w:lang w:val="fr_FR" w:bidi="fr_FR"/>
        </w:rPr>
        <w:t>). Cela nous rappelle le péché qui l'a introduite au sein de la famille de David, et la faveur gracieuse de Dieu envers ses descendants.</w:t>
      </w:r>
    </w:p>
    <w:p>
      <w:pPr/>
      <w:r>
        <w:rPr>
          <w:lang w:val="fr_FR" w:bidi="fr_FR"/>
        </w:rPr>
      </w:r>
      <w:r>
        <w:rPr>
          <w:u w:val="single"/>
          <w:lang w:val="fr_FR" w:bidi="fr_FR"/>
        </w:rPr>
        <w:t>Passages pour une étude approfondie</w:t>
      </w:r>
    </w:p>
    <w:p>
      <w:pPr/>
      <w:r>
        <w:rPr>
          <w:lang w:val="fr_FR" w:bidi="fr_FR"/>
        </w:rPr>
      </w:r>
      <w:r>
        <w:rPr>
          <w:lang w:val="fr_FR" w:bidi="fr_FR"/>
        </w:rPr>
        <w:t>2 Samuel 11.1–12.25</w:t>
      </w:r>
      <w:r>
        <w:rPr>
          <w:lang w:val="fr_FR" w:bidi="fr_FR"/>
        </w:rPr>
        <w:t xml:space="preserve"> ; </w:t>
      </w:r>
      <w:r>
        <w:rPr>
          <w:lang w:val="fr_FR" w:bidi="fr_FR"/>
        </w:rPr>
        <w:t>1 Rois 1.5–2.25</w:t>
      </w:r>
      <w:r>
        <w:rPr>
          <w:lang w:val="fr_FR" w:bidi="fr_FR"/>
        </w:rPr>
        <w:t xml:space="preserve"> ; </w:t>
      </w:r>
      <w:r>
        <w:rPr>
          <w:lang w:val="fr_FR" w:bidi="fr_FR"/>
        </w:rPr>
        <w:t>Psaume 51.1–19</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