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Caleb</w:t>
      </w:r>
      <w:r>
        <w:rPr>
          <w:lang w:val="fr_FR" w:bidi="fr_FR"/>
        </w:rPr>
      </w:r>
    </w:p>
    <w:p>
      <w:pPr/>
      <w:r>
        <w:rPr>
          <w:lang w:val="fr_FR" w:bidi="fr_FR"/>
        </w:rPr>
      </w:r>
      <w:r>
        <w:rPr>
          <w:lang w:val="fr_FR" w:bidi="fr_FR"/>
        </w:rPr>
        <w:t>Caleb est un exemple inspirant de foi en Dieu. Fils de Jephunné le Kénizzite (</w:t>
      </w:r>
      <w:r>
        <w:rPr>
          <w:lang w:val="fr_FR" w:bidi="fr_FR"/>
        </w:rPr>
        <w:t>Jos 14.6</w:t>
      </w:r>
      <w:r>
        <w:rPr>
          <w:lang w:val="fr_FR" w:bidi="fr_FR"/>
        </w:rPr>
        <w:t xml:space="preserve"> ; </w:t>
      </w:r>
      <w:r>
        <w:rPr>
          <w:lang w:val="fr_FR" w:bidi="fr_FR"/>
        </w:rPr>
        <w:t>Nb 32.12</w:t>
      </w:r>
      <w:r>
        <w:rPr>
          <w:lang w:val="fr_FR" w:bidi="fr_FR"/>
        </w:rPr>
        <w:t xml:space="preserve">), il appartenait au peuple des Kénizzites, qui peuplait le Néguev, la vaste région désertique située au sud de Canaan (voir </w:t>
      </w:r>
      <w:r>
        <w:rPr>
          <w:lang w:val="fr_FR" w:bidi="fr_FR"/>
        </w:rPr>
        <w:t>Gn 15.18–21</w:t>
      </w:r>
      <w:r>
        <w:rPr>
          <w:lang w:val="fr_FR" w:bidi="fr_FR"/>
        </w:rPr>
        <w:t>). Il est fort probable que Jephunné se soit marié au sein de la tribu de Juda, une génération avant le départ d'Israël d'Égypte.</w:t>
      </w:r>
    </w:p>
    <w:p>
      <w:pPr/>
      <w:r>
        <w:rPr>
          <w:lang w:val="fr_FR" w:bidi="fr_FR"/>
        </w:rPr>
      </w:r>
      <w:r>
        <w:rPr>
          <w:lang w:val="fr_FR" w:bidi="fr_FR"/>
        </w:rPr>
        <w:t>Caleb apparaît d'abord comme l’un des douze espions que Moïse envoya explorer le pays de Canaan. À leur retour, bien que tous reconnurent la beauté du pays, dix d’entre eux se focalisèrent sur la redoutable armée qui l’habitait (</w:t>
      </w:r>
      <w:r>
        <w:rPr>
          <w:lang w:val="fr_FR" w:bidi="fr_FR"/>
        </w:rPr>
        <w:t>Nb 13.31–33</w:t>
      </w:r>
      <w:r>
        <w:rPr>
          <w:lang w:val="fr_FR" w:bidi="fr_FR"/>
        </w:rPr>
        <w:t>). Seuls Josué et Caleb exprimèrent la conviction que, fort de l’aide divine, Israël serait capable de vaincre les Cananéens (</w:t>
      </w:r>
      <w:r>
        <w:rPr>
          <w:lang w:val="fr_FR" w:bidi="fr_FR"/>
        </w:rPr>
        <w:t>Nb 14.6–9</w:t>
      </w:r>
      <w:r>
        <w:rPr>
          <w:lang w:val="fr_FR" w:bidi="fr_FR"/>
        </w:rPr>
        <w:t>), conseillant de prendre le pays sans délai (</w:t>
      </w:r>
      <w:r>
        <w:rPr>
          <w:lang w:val="fr_FR" w:bidi="fr_FR"/>
        </w:rPr>
        <w:t>Nb 13.30</w:t>
      </w:r>
      <w:r>
        <w:rPr>
          <w:lang w:val="fr_FR" w:bidi="fr_FR"/>
        </w:rPr>
        <w:t>).</w:t>
      </w:r>
    </w:p>
    <w:p>
      <w:pPr/>
      <w:r>
        <w:rPr>
          <w:lang w:val="fr_FR" w:bidi="fr_FR"/>
        </w:rPr>
      </w:r>
      <w:r>
        <w:rPr>
          <w:lang w:val="fr_FR" w:bidi="fr_FR"/>
        </w:rPr>
        <w:t>Le peuple voulut alors lapider Caleb et Josué (</w:t>
      </w:r>
      <w:r>
        <w:rPr>
          <w:lang w:val="fr_FR" w:bidi="fr_FR"/>
        </w:rPr>
        <w:t>Nb 14.10</w:t>
      </w:r>
      <w:r>
        <w:rPr>
          <w:lang w:val="fr_FR" w:bidi="fr_FR"/>
        </w:rPr>
        <w:t>), mais Dieu les protégea en punissant les récalcitrants (</w:t>
      </w:r>
      <w:r>
        <w:rPr>
          <w:lang w:val="fr_FR" w:bidi="fr_FR"/>
        </w:rPr>
        <w:t>Nb 14.11–38</w:t>
      </w:r>
      <w:r>
        <w:rPr>
          <w:lang w:val="fr_FR" w:bidi="fr_FR"/>
        </w:rPr>
        <w:t>). Ainsi, en récompense de leur fidélité, Caleb et Josué furent les seuls adultes à entrer Terre promise.</w:t>
      </w:r>
    </w:p>
    <w:p>
      <w:pPr/>
      <w:r>
        <w:rPr>
          <w:lang w:val="fr_FR" w:bidi="fr_FR"/>
        </w:rPr>
      </w:r>
      <w:r>
        <w:rPr>
          <w:lang w:val="fr_FR" w:bidi="fr_FR"/>
        </w:rPr>
        <w:t>Après de longues années d'errance dans le désert et de multiples combats, Caleb reçut enfin son héritage en Canaan (</w:t>
      </w:r>
      <w:r>
        <w:rPr>
          <w:lang w:val="fr_FR" w:bidi="fr_FR"/>
        </w:rPr>
        <w:t>Jos 14.6–15</w:t>
      </w:r>
      <w:r>
        <w:rPr>
          <w:lang w:val="fr_FR" w:bidi="fr_FR"/>
        </w:rPr>
        <w:t>). Sa foi demeura inébranlable pendant quarante-cinq ans, et même à l'âge de quatre-vingt-cinq ans, il conservait la force et le courage d'un jeune guerrier. Son histoire montre la noblesse de son caractère et sa ferme espérance en Dieu. Caleb s'appropria la terre d'Hébron en chassant les géants Anakites, ces redoutables géants qui avaient jadis semé la terreur parmi les premiers éclaireurs (</w:t>
      </w:r>
      <w:r>
        <w:rPr>
          <w:lang w:val="fr_FR" w:bidi="fr_FR"/>
        </w:rPr>
        <w:t>Jos 15.13–14</w:t>
      </w:r>
      <w:r>
        <w:rPr>
          <w:lang w:val="fr_FR" w:bidi="fr_FR"/>
        </w:rPr>
        <w:t xml:space="preserve"> ; voir </w:t>
      </w:r>
      <w:r>
        <w:rPr>
          <w:lang w:val="fr_FR" w:bidi="fr_FR"/>
        </w:rPr>
        <w:t>Nb 13.28</w:t>
      </w:r>
      <w:r>
        <w:rPr>
          <w:lang w:val="fr_FR" w:bidi="fr_FR"/>
        </w:rPr>
        <w:t xml:space="preserve">, </w:t>
      </w:r>
      <w:r>
        <w:rPr>
          <w:lang w:val="fr_FR" w:bidi="fr_FR"/>
        </w:rPr>
        <w:t>33</w:t>
      </w:r>
      <w:r>
        <w:rPr>
          <w:lang w:val="fr_FR" w:bidi="fr_FR"/>
        </w:rPr>
        <w:t>).</w:t>
      </w:r>
    </w:p>
    <w:p>
      <w:pPr/>
      <w:r>
        <w:rPr>
          <w:lang w:val="fr_FR" w:bidi="fr_FR"/>
        </w:rPr>
      </w:r>
      <w:r>
        <w:rPr>
          <w:lang w:val="fr_FR" w:bidi="fr_FR"/>
        </w:rPr>
        <w:t xml:space="preserve">Caleb s'installa à Hébron, ville située à environ trentre kilomètre au sud de Jérusalem et proche des territoires des </w:t>
      </w:r>
      <w:r>
        <w:rPr>
          <w:lang w:val="fr_FR" w:bidi="fr_FR"/>
        </w:rPr>
        <w:t xml:space="preserve">Keniziens. Par la suite, cette ville </w:t>
      </w:r>
      <w:r>
        <w:rPr>
          <w:lang w:val="fr_FR" w:bidi="fr_FR"/>
        </w:rPr>
        <w:t>devint un lieu de résidence pour les Lévites et une ville de refuge pour le peuple (</w:t>
      </w:r>
      <w:r>
        <w:rPr>
          <w:lang w:val="fr_FR" w:bidi="fr_FR"/>
        </w:rPr>
        <w:t>Jos 21.13</w:t>
      </w:r>
      <w:r>
        <w:rPr>
          <w:lang w:val="fr_FR" w:bidi="fr_FR"/>
        </w:rPr>
        <w:t xml:space="preserve"> ; </w:t>
      </w:r>
      <w:r>
        <w:rPr>
          <w:lang w:val="fr_FR" w:bidi="fr_FR"/>
        </w:rPr>
        <w:t>1Ch 6.54–57</w:t>
      </w:r>
      <w:r>
        <w:rPr>
          <w:lang w:val="fr_FR" w:bidi="fr_FR"/>
        </w:rPr>
        <w:t>).</w:t>
      </w:r>
    </w:p>
    <w:p>
      <w:pPr/>
      <w:r>
        <w:rPr>
          <w:lang w:val="fr_FR" w:bidi="fr_FR"/>
        </w:rPr>
      </w:r>
      <w:r>
        <w:rPr>
          <w:lang w:val="fr_FR" w:bidi="fr_FR"/>
        </w:rPr>
        <w:t>Fixant toujours les yeux sur la promesse divine, Caleb avait l'assurance que Dieu permettrait un jour au peuple d'Israël de vivre en Canaan, malgré les difficultés traversées. Armé d'une énergie sans faille, il fut résolu à conquérir la terre promise, ce qui lui valut l'admiration et le respect des autres croyants. Même si les ennemis d'Israël étaient plus nombreux, Caleb fit confiance au Seigneur, et celui-ci le récompensa abondamment.</w:t>
      </w:r>
    </w:p>
    <w:p>
      <w:pPr/>
      <w:r>
        <w:rPr>
          <w:lang w:val="fr_FR" w:bidi="fr_FR"/>
        </w:rPr>
      </w:r>
      <w:r>
        <w:rPr>
          <w:u w:val="single"/>
          <w:lang w:val="fr_FR" w:bidi="fr_FR"/>
        </w:rPr>
        <w:t>Passages pour une étude approfondie</w:t>
      </w:r>
    </w:p>
    <w:p>
      <w:pPr/>
      <w:r>
        <w:rPr>
          <w:lang w:val="fr_FR" w:bidi="fr_FR"/>
        </w:rPr>
      </w:r>
      <w:r>
        <w:rPr>
          <w:lang w:val="fr_FR" w:bidi="fr_FR"/>
        </w:rPr>
        <w:t>Nombres 13.1–14.38</w:t>
      </w:r>
      <w:r>
        <w:rPr>
          <w:lang w:val="fr_FR" w:bidi="fr_FR"/>
        </w:rPr>
        <w:t xml:space="preserve"> ; </w:t>
      </w:r>
      <w:r>
        <w:rPr>
          <w:lang w:val="fr_FR" w:bidi="fr_FR"/>
        </w:rPr>
        <w:t>26.65</w:t>
      </w:r>
      <w:r>
        <w:rPr>
          <w:lang w:val="fr_FR" w:bidi="fr_FR"/>
        </w:rPr>
        <w:t xml:space="preserve"> ; </w:t>
      </w:r>
      <w:r>
        <w:rPr>
          <w:lang w:val="fr_FR" w:bidi="fr_FR"/>
        </w:rPr>
        <w:t>32.12</w:t>
      </w:r>
      <w:r>
        <w:rPr>
          <w:lang w:val="fr_FR" w:bidi="fr_FR"/>
        </w:rPr>
        <w:t xml:space="preserve"> ; </w:t>
      </w:r>
      <w:r>
        <w:rPr>
          <w:lang w:val="fr_FR" w:bidi="fr_FR"/>
        </w:rPr>
        <w:t>34.19</w:t>
      </w:r>
      <w:r>
        <w:rPr>
          <w:lang w:val="fr_FR" w:bidi="fr_FR"/>
        </w:rPr>
        <w:t xml:space="preserve"> ; </w:t>
      </w:r>
      <w:r>
        <w:rPr>
          <w:lang w:val="fr_FR" w:bidi="fr_FR"/>
        </w:rPr>
        <w:t>Deutéronome 1.36</w:t>
      </w:r>
      <w:r>
        <w:rPr>
          <w:lang w:val="fr_FR" w:bidi="fr_FR"/>
        </w:rPr>
        <w:t xml:space="preserve"> ; </w:t>
      </w:r>
      <w:r>
        <w:rPr>
          <w:lang w:val="fr_FR" w:bidi="fr_FR"/>
        </w:rPr>
        <w:t>Josué 14.6–15</w:t>
      </w:r>
      <w:r>
        <w:rPr>
          <w:lang w:val="fr_FR" w:bidi="fr_FR"/>
        </w:rPr>
        <w:t xml:space="preserve"> ; </w:t>
      </w:r>
      <w:r>
        <w:rPr>
          <w:lang w:val="fr_FR" w:bidi="fr_FR"/>
        </w:rPr>
        <w:t>15.13–19</w:t>
      </w:r>
      <w:r>
        <w:rPr>
          <w:lang w:val="fr_FR" w:bidi="fr_FR"/>
        </w:rPr>
        <w:t xml:space="preserve"> ; </w:t>
      </w:r>
      <w:r>
        <w:rPr>
          <w:lang w:val="fr_FR" w:bidi="fr_FR"/>
        </w:rPr>
        <w:t>Juges 1.11–15</w:t>
      </w:r>
      <w:r>
        <w:rPr>
          <w:lang w:val="fr_FR" w:bidi="fr_FR"/>
        </w:rPr>
        <w:t xml:space="preserve">, </w:t>
      </w:r>
      <w:r>
        <w:rPr>
          <w:lang w:val="fr_FR" w:bidi="fr_FR"/>
        </w:rPr>
        <w:t>20</w:t>
      </w:r>
      <w:r>
        <w:rPr>
          <w:lang w:val="fr_FR" w:bidi="fr_FR"/>
        </w:rPr>
        <w:t xml:space="preserve"> ; </w:t>
      </w:r>
      <w:r>
        <w:rPr>
          <w:lang w:val="fr_FR" w:bidi="fr_FR"/>
        </w:rPr>
        <w:t>1 Chroniques 4.15</w:t>
      </w:r>
      <w:r>
        <w:rPr>
          <w:lang w:val="fr_FR" w:bidi="fr_FR"/>
        </w:rPr>
      </w:r>
      <w:r>
        <w:rPr>
          <w:lang w:val="fr_FR" w:bidi="fr_FR"/>
        </w:rPr>
      </w:r>
    </w:p>
    <w:p>
      <w:pPr/>
      <w:r>
        <w:rPr>
          <w:lang w:val="fr_FR" w:bidi="fr_FR"/>
        </w:rPr>
      </w:r>
    </w:p>
    <w:p>
      <w:pPr>
        <w:pStyle w:val="Heading2"/>
      </w:pPr>
      <w:r>
        <w:rPr>
          <w:lang w:val="fr_FR" w:bidi="fr_FR"/>
        </w:rPr>
        <w:t>Corinthe</w:t>
      </w:r>
      <w:r>
        <w:rPr>
          <w:lang w:val="fr_FR" w:bidi="fr_FR"/>
        </w:rPr>
      </w:r>
    </w:p>
    <w:p>
      <w:pPr/>
      <w:r>
        <w:rPr>
          <w:lang w:val="fr_FR" w:bidi="fr_FR"/>
        </w:rPr>
      </w:r>
      <w:r>
        <w:rPr>
          <w:lang w:val="fr_FR" w:bidi="fr_FR"/>
        </w:rPr>
        <w:t>Corinthe est l'une des plus anciennes villes de Grèce, dont les premières traces d'habitation remontent au moins à 3000 av. J.-C. Grâce à sa position stratégique sur d'importantes routes commerciales, la ville devint un carrefour majeur du commerce et atteignit son apogée entre 800 et 600 av. J.-C. Au milieu des années 100 av. J.-C., alors que l'armée romaine étendait son empire, Corinthe prit la tête de la ligue des Hellènes pour résister au contrôle romain sur la Grèce. Hélas, cette résistance fut vaine, et en 146 av. J.-C., les Romains mirent la cité en déroute, exécutant ses hommes et réduisant en esclavage femmes et enfants, laissant Corinthe en ruines pendant près d'un siècle.</w:t>
      </w:r>
    </w:p>
    <w:p>
      <w:pPr/>
      <w:r>
        <w:rPr>
          <w:lang w:val="fr_FR" w:bidi="fr_FR"/>
        </w:rPr>
      </w:r>
      <w:r>
        <w:rPr>
          <w:lang w:val="fr_FR" w:bidi="fr_FR"/>
        </w:rPr>
        <w:t>En 44 av. J.-C., Jules César fonda une colonie romaine à Corinthe. Cette nouvelle colonie attira un groupe hétéroclite d'Italiens, d'affranchis romains et de Grecs déplacés, qui, par leur travail acharné et leur ingéniosité, reconnurent rapidement la ville en un centre prospère de commerce, d'affaires et d'industrie. Au moment où l'apôtre Paul s'y rendit, Corinthe était une cité vibrante et cosmopolite, peuplée de près de 700 000 âmes, mêlant riches notoires et aspirants à la fortune.</w:t>
      </w:r>
    </w:p>
    <w:p>
      <w:pPr/>
      <w:r>
        <w:rPr>
          <w:lang w:val="fr_FR" w:bidi="fr_FR"/>
        </w:rPr>
      </w:r>
      <w:r>
        <w:rPr>
          <w:lang w:val="fr_FR" w:bidi="fr_FR"/>
        </w:rPr>
        <w:t>Corinthe était également renommée pour son luxe ostentatoire et ses excès. La ville s'était fait une réputation de ville aux mœurs légères, où la prostitution était d'ailleurs une pratique courante. À tel point que certains employaient le verbe « corinthianiser » pour désigner un comportement sexuel immoral. Cette atmosphère de débauche posait de sérieux défis à l'église de Corinthe, confrontée aux dérives de l'immoralité (</w:t>
      </w:r>
      <w:r>
        <w:rPr>
          <w:lang w:val="fr_FR" w:bidi="fr_FR"/>
        </w:rPr>
        <w:t>1Co 5.1–13</w:t>
      </w:r>
      <w:r>
        <w:rPr>
          <w:lang w:val="fr_FR" w:bidi="fr_FR"/>
        </w:rPr>
        <w:t xml:space="preserve"> ; </w:t>
      </w:r>
      <w:r>
        <w:rPr>
          <w:lang w:val="fr_FR" w:bidi="fr_FR"/>
        </w:rPr>
        <w:t>6.12–20</w:t>
      </w:r>
      <w:r>
        <w:rPr>
          <w:lang w:val="fr_FR" w:bidi="fr_FR"/>
        </w:rPr>
        <w:t>).</w:t>
      </w:r>
    </w:p>
    <w:p>
      <w:pPr/>
      <w:r>
        <w:rPr>
          <w:lang w:val="fr_FR" w:bidi="fr_FR"/>
        </w:rPr>
      </w:r>
      <w:r>
        <w:rPr>
          <w:lang w:val="fr_FR" w:bidi="fr_FR"/>
        </w:rPr>
        <w:t>L'importance de Corinthe était aussi liée aux jeux isthmiques, inaugurés en 523 av. J.-C. et organisés tous les deux ans. Les épreuves étaient de trois types : équestres, gymniques et musicales. À l'époque du Nouveau Testament, les jeux comprenaient des courses de chars et d'autres spectacles romains, pour accompagner les épreuves grecques traditionnelles. L'apôtre Paul évoqua ces concours athlétiques, mentionnant la course et la boxe (</w:t>
      </w:r>
      <w:r>
        <w:rPr>
          <w:lang w:val="fr_FR" w:bidi="fr_FR"/>
        </w:rPr>
        <w:t>1Co 9.24–26</w:t>
      </w:r>
      <w:r>
        <w:rPr>
          <w:lang w:val="fr_FR" w:bidi="fr_FR"/>
        </w:rPr>
        <w:t>). Les vainqueurs étaient célébrés en héros nationaux, couronnés de myrte, d'olivier ou de branches de pin, et bénéficiaient d'allocations de l'État, d'exemptions fiscales et d'avantages particuliers pour leurs enfants.</w:t>
      </w:r>
    </w:p>
    <w:p>
      <w:pPr/>
      <w:r>
        <w:rPr>
          <w:lang w:val="fr_FR" w:bidi="fr_FR"/>
        </w:rPr>
      </w:r>
      <w:r>
        <w:rPr>
          <w:lang w:val="fr_FR" w:bidi="fr_FR"/>
        </w:rPr>
        <w:t>À l'instar de la plupart des cités romaines, Corinthe était parsemée de temples en marbre, symboles de la vénération des dieux et de la participation aux fastes de leurs fêtes. Toutes ces traditions rythmaient le quotidien de ses habitants. Ces célébrations païennes représentaient un obstacle pour l'église corinthienne (</w:t>
      </w:r>
      <w:r>
        <w:rPr>
          <w:lang w:val="fr_FR" w:bidi="fr_FR"/>
        </w:rPr>
        <w:t>1Co 8.1–10.33</w:t>
      </w:r>
      <w:r>
        <w:rPr>
          <w:lang w:val="fr_FR" w:bidi="fr_FR"/>
        </w:rPr>
        <w:t>).</w:t>
      </w:r>
    </w:p>
    <w:p>
      <w:pPr/>
      <w:r>
        <w:rPr>
          <w:lang w:val="fr_FR" w:bidi="fr_FR"/>
        </w:rPr>
      </w:r>
      <w:r>
        <w:rPr>
          <w:lang w:val="fr_FR" w:bidi="fr_FR"/>
        </w:rPr>
        <w:t xml:space="preserve">De plus, un important contingent de Juifs déplacés s'installa dans la cité. La plupart arrivèrent sûrement après l'expulsion des juifs opérée par l'empereur Claude de Rome (voir </w:t>
      </w:r>
      <w:r>
        <w:rPr>
          <w:lang w:val="fr_FR" w:bidi="fr_FR"/>
        </w:rPr>
        <w:t>Ac 18.2</w:t>
      </w:r>
      <w:r>
        <w:rPr>
          <w:lang w:val="fr_FR" w:bidi="fr_FR"/>
        </w:rPr>
        <w:t>). Au cours de son deuxième voyage missionnaire, l'apôtre Paul s'établit à Corinthe, y rencontrant Aquilas et Priscille, qui devinrent ses amis proches et ses collaborateurs fidèles (</w:t>
      </w:r>
      <w:r>
        <w:rPr>
          <w:lang w:val="fr_FR" w:bidi="fr_FR"/>
        </w:rPr>
        <w:t>Ac 18.1–3</w:t>
      </w:r>
      <w:r>
        <w:rPr>
          <w:lang w:val="fr_FR" w:bidi="fr_FR"/>
        </w:rPr>
        <w:t>). Paul demeura à Corinthe plus d'un an et demi, enseignant la parole de Dieu avec ferveur. (</w:t>
      </w:r>
      <w:r>
        <w:rPr>
          <w:lang w:val="fr_FR" w:bidi="fr_FR"/>
        </w:rPr>
        <w:t>Ac 18.11</w:t>
      </w:r>
      <w:r>
        <w:rPr>
          <w:lang w:val="fr_FR" w:bidi="fr_FR"/>
        </w:rPr>
        <w:t>).</w:t>
      </w:r>
    </w:p>
    <w:p>
      <w:pPr/>
      <w:r>
        <w:rPr>
          <w:lang w:val="fr_FR" w:bidi="fr_FR"/>
        </w:rPr>
      </w:r>
      <w:r>
        <w:rPr>
          <w:lang w:val="fr_FR" w:bidi="fr_FR"/>
        </w:rPr>
        <w:t>L'église de Corinthe, émergeant dans un lieu empreint de paganisme et d'immoralité, a rencontré de nombreux défis. Les lettres de Paul offraient ainsi des solutions précieuses aux problèmes pratiques de la vie chrétienne et de la communauté.</w:t>
      </w:r>
    </w:p>
    <w:p>
      <w:pPr/>
      <w:r>
        <w:rPr>
          <w:lang w:val="fr_FR" w:bidi="fr_FR"/>
        </w:rPr>
      </w:r>
      <w:r>
        <w:rPr>
          <w:u w:val="single"/>
          <w:lang w:val="fr_FR" w:bidi="fr_FR"/>
        </w:rPr>
        <w:t>Passages pour une étude approfondie</w:t>
      </w:r>
    </w:p>
    <w:p>
      <w:pPr/>
      <w:r>
        <w:rPr>
          <w:lang w:val="fr_FR" w:bidi="fr_FR"/>
        </w:rPr>
      </w:r>
      <w:r>
        <w:rPr>
          <w:lang w:val="fr_FR" w:bidi="fr_FR"/>
        </w:rPr>
        <w:t>Actes 18.1–18</w:t>
      </w:r>
      <w:r>
        <w:rPr>
          <w:lang w:val="fr_FR" w:bidi="fr_FR"/>
        </w:rPr>
        <w:t xml:space="preserve"> ; </w:t>
      </w:r>
      <w:r>
        <w:rPr>
          <w:lang w:val="fr_FR" w:bidi="fr_FR"/>
        </w:rPr>
        <w:t>1 Corinthiens 1.1–2</w:t>
      </w:r>
      <w:r>
        <w:rPr>
          <w:lang w:val="fr_FR" w:bidi="fr_FR"/>
        </w:rPr>
        <w:t xml:space="preserve"> ; </w:t>
      </w:r>
      <w:r>
        <w:rPr>
          <w:lang w:val="fr_FR" w:bidi="fr_FR"/>
        </w:rPr>
        <w:t>16.5–20</w:t>
      </w:r>
      <w:r>
        <w:rPr>
          <w:lang w:val="fr_FR" w:bidi="fr_FR"/>
        </w:rPr>
        <w:t xml:space="preserve"> ; </w:t>
      </w:r>
      <w:r>
        <w:rPr>
          <w:lang w:val="fr_FR" w:bidi="fr_FR"/>
        </w:rPr>
        <w:t>2 Corinthiens 1.1</w:t>
      </w:r>
      <w:r>
        <w:rPr>
          <w:lang w:val="fr_FR" w:bidi="fr_FR"/>
        </w:rPr>
        <w:t xml:space="preserve"> ; </w:t>
      </w:r>
      <w:r>
        <w:rPr>
          <w:lang w:val="fr_FR" w:bidi="fr_FR"/>
        </w:rPr>
        <w:t>13.1</w:t>
      </w:r>
      <w:r>
        <w:rPr>
          <w:lang w:val="fr_FR" w:bidi="fr_FR"/>
        </w:rPr>
        <w:t xml:space="preserve"> ; </w:t>
      </w:r>
      <w:r>
        <w:rPr>
          <w:lang w:val="fr_FR" w:bidi="fr_FR"/>
        </w:rPr>
        <w:t>2 Timothée 4.20</w:t>
      </w:r>
      <w:r>
        <w:rPr>
          <w:lang w:val="fr_FR" w:bidi="fr_FR"/>
        </w:rPr>
      </w:r>
      <w:r>
        <w:rPr>
          <w:lang w:val="fr_FR" w:bidi="fr_FR"/>
        </w:rPr>
      </w:r>
    </w:p>
    <w:p>
      <w:pPr/>
      <w:r>
        <w:rPr>
          <w:lang w:val="fr_FR" w:bidi="fr_FR"/>
        </w:rPr>
      </w:r>
    </w:p>
    <w:p>
      <w:pPr>
        <w:pStyle w:val="Heading2"/>
      </w:pPr>
      <w:r>
        <w:rPr>
          <w:lang w:val="fr_FR" w:bidi="fr_FR"/>
        </w:rPr>
        <w:t>Cyrus II</w:t>
      </w:r>
      <w:r>
        <w:rPr>
          <w:lang w:val="fr_FR" w:bidi="fr_FR"/>
        </w:rPr>
      </w:r>
    </w:p>
    <w:p>
      <w:pPr/>
      <w:r>
        <w:rPr>
          <w:lang w:val="fr_FR" w:bidi="fr_FR"/>
        </w:rPr>
      </w:r>
      <w:r>
        <w:rPr>
          <w:lang w:val="fr_FR" w:bidi="fr_FR"/>
        </w:rPr>
        <w:t xml:space="preserve">Cyrus II, roi de Perse de 559 à 530 av. J.‑C., a fondé l'empire du même nom. Son père était aussi le roi de Perse, une petite nation alors sous l’égide des Mèdes à l'époque, et sa mère était la fille du roi des Mèdes. En 549 av. J.‑C., Cyrus conquit la Médie, unifiant ainsi les deux nations. Poursuivant sa marche conquérante, il soumit la Lydie en Asie Mineure en 547 av. J.-C., puis, tourné vers l’Orient, il étendit son empire en y incorporant la Parthie ainsi qu’une partie de l’Inde. Enfin, le 29 octobre 539 av. J.-C., il s’empara de Babylone, intégrant cette cité majeure au sein de son empire (voir </w:t>
      </w:r>
      <w:r>
        <w:rPr>
          <w:lang w:val="fr_FR" w:bidi="fr_FR"/>
        </w:rPr>
        <w:t>Dn 5.30–31</w:t>
      </w:r>
      <w:r>
        <w:rPr>
          <w:lang w:val="fr_FR" w:bidi="fr_FR"/>
        </w:rPr>
        <w:t>).</w:t>
      </w:r>
    </w:p>
    <w:p>
      <w:pPr/>
      <w:r>
        <w:rPr>
          <w:lang w:val="fr_FR" w:bidi="fr_FR"/>
        </w:rPr>
      </w:r>
      <w:r>
        <w:rPr>
          <w:lang w:val="fr_FR" w:bidi="fr_FR"/>
        </w:rPr>
        <w:t xml:space="preserve">Après la chute de Babylone, Cyrus émit un décret autorisant le peuple juif à retourner dans sa patrie et à reconstruire le temple de Jérusalem. La partie de ce décret qui concernait les Juifs est consignée dans </w:t>
      </w:r>
      <w:r>
        <w:rPr>
          <w:lang w:val="fr_FR" w:bidi="fr_FR"/>
        </w:rPr>
        <w:t>2Ch 36.22–23</w:t>
      </w:r>
      <w:r>
        <w:rPr>
          <w:lang w:val="fr_FR" w:bidi="fr_FR"/>
        </w:rPr>
        <w:t xml:space="preserve"> et </w:t>
      </w:r>
      <w:r>
        <w:rPr>
          <w:lang w:val="fr_FR" w:bidi="fr_FR"/>
        </w:rPr>
        <w:t>Esd 1.1–4</w:t>
      </w:r>
      <w:r>
        <w:rPr>
          <w:lang w:val="fr_FR" w:bidi="fr_FR"/>
        </w:rPr>
        <w:t xml:space="preserve">. </w:t>
      </w:r>
      <w:r>
        <w:rPr>
          <w:lang w:val="fr_FR" w:bidi="fr_FR"/>
        </w:rPr>
        <w:t xml:space="preserve">Le </w:t>
      </w:r>
      <w:r>
        <w:rPr>
          <w:lang w:val="fr_FR" w:bidi="fr_FR"/>
        </w:rPr>
        <w:t>cylindre de Cyrus, découvert à Babylone entre 1879 et 1882, témoigne de cette politique bienveillante en relatant la conduite magnanime de Cyrus envers les peuples conquis. Le prophète Ésaïe reconnut en Cyrus le futur libérateur de Juda (</w:t>
      </w:r>
      <w:r>
        <w:rPr>
          <w:lang w:val="fr_FR" w:bidi="fr_FR"/>
        </w:rPr>
        <w:t>Es 44.28–45.13</w:t>
      </w:r>
      <w:r>
        <w:rPr>
          <w:lang w:val="fr_FR" w:bidi="fr_FR"/>
        </w:rPr>
        <w:t>) et le désigna comme l'oint du Seigneur (</w:t>
      </w:r>
      <w:r>
        <w:rPr>
          <w:lang w:val="fr_FR" w:bidi="fr_FR"/>
        </w:rPr>
        <w:t>Es 45.1</w:t>
      </w:r>
      <w:r>
        <w:rPr>
          <w:lang w:val="fr_FR" w:bidi="fr_FR"/>
        </w:rPr>
        <w:t xml:space="preserve">, de l'hébreu </w:t>
      </w:r>
      <w:r>
        <w:rPr>
          <w:i/>
          <w:lang w:val="fr_FR" w:bidi="fr_FR"/>
        </w:rPr>
        <w:t>mashiakh</w:t>
      </w:r>
      <w:r>
        <w:rPr>
          <w:lang w:val="fr_FR" w:bidi="fr_FR"/>
        </w:rPr>
        <w:t xml:space="preserve">, signifiant « Messie »). Israël voyait en Cyrus l’élu de Dieu, destiné à les affranchir. En réalité, Cyrus n'était pas </w:t>
      </w:r>
      <w:r>
        <w:rPr>
          <w:i/>
          <w:lang w:val="fr_FR" w:bidi="fr_FR"/>
        </w:rPr>
        <w:t>le</w:t>
      </w:r>
      <w:r>
        <w:rPr>
          <w:lang w:val="fr_FR" w:bidi="fr_FR"/>
        </w:rPr>
        <w:t xml:space="preserve"> Messie, mais ses actions préfiguraient ce que le Messie véritable, Jésus-Christ, accomplirait en libérant le peuple de Dieu de la servitude.</w:t>
      </w:r>
    </w:p>
    <w:p>
      <w:pPr/>
      <w:r>
        <w:rPr>
          <w:lang w:val="fr_FR" w:bidi="fr_FR"/>
        </w:rPr>
      </w:r>
      <w:r>
        <w:rPr>
          <w:u w:val="single"/>
          <w:lang w:val="fr_FR" w:bidi="fr_FR"/>
        </w:rPr>
        <w:t>Passages pour une étude approfondie</w:t>
      </w:r>
    </w:p>
    <w:p>
      <w:pPr/>
      <w:r>
        <w:rPr>
          <w:lang w:val="fr_FR" w:bidi="fr_FR"/>
        </w:rPr>
      </w:r>
      <w:r>
        <w:rPr>
          <w:lang w:val="fr_FR" w:bidi="fr_FR"/>
        </w:rPr>
        <w:t>2 Chroniques 36.22–23</w:t>
      </w:r>
      <w:r>
        <w:rPr>
          <w:lang w:val="fr_FR" w:bidi="fr_FR"/>
        </w:rPr>
        <w:t xml:space="preserve"> ; </w:t>
      </w:r>
      <w:r>
        <w:rPr>
          <w:lang w:val="fr_FR" w:bidi="fr_FR"/>
        </w:rPr>
        <w:t>Esdras 1.1–11</w:t>
      </w:r>
      <w:r>
        <w:rPr>
          <w:lang w:val="fr_FR" w:bidi="fr_FR"/>
        </w:rPr>
        <w:t xml:space="preserve"> ; </w:t>
      </w:r>
      <w:r>
        <w:rPr>
          <w:lang w:val="fr_FR" w:bidi="fr_FR"/>
        </w:rPr>
        <w:t>3.7</w:t>
      </w:r>
      <w:r>
        <w:rPr>
          <w:lang w:val="fr_FR" w:bidi="fr_FR"/>
        </w:rPr>
        <w:t xml:space="preserve"> ; </w:t>
      </w:r>
      <w:r>
        <w:rPr>
          <w:lang w:val="fr_FR" w:bidi="fr_FR"/>
        </w:rPr>
        <w:t>4.1–5</w:t>
      </w:r>
      <w:r>
        <w:rPr>
          <w:lang w:val="fr_FR" w:bidi="fr_FR"/>
        </w:rPr>
        <w:t xml:space="preserve"> ; </w:t>
      </w:r>
      <w:r>
        <w:rPr>
          <w:lang w:val="fr_FR" w:bidi="fr_FR"/>
        </w:rPr>
        <w:t>5.6–17</w:t>
      </w:r>
      <w:r>
        <w:rPr>
          <w:lang w:val="fr_FR" w:bidi="fr_FR"/>
        </w:rPr>
        <w:t xml:space="preserve"> ; </w:t>
      </w:r>
      <w:r>
        <w:rPr>
          <w:lang w:val="fr_FR" w:bidi="fr_FR"/>
        </w:rPr>
        <w:t>6.14–15</w:t>
      </w:r>
      <w:r>
        <w:rPr>
          <w:lang w:val="fr_FR" w:bidi="fr_FR"/>
        </w:rPr>
        <w:t xml:space="preserve"> ; </w:t>
      </w:r>
      <w:r>
        <w:rPr>
          <w:lang w:val="fr_FR" w:bidi="fr_FR"/>
        </w:rPr>
        <w:t>Ésaïe 44.28–45.13</w:t>
      </w:r>
      <w:r>
        <w:rPr>
          <w:lang w:val="fr_FR" w:bidi="fr_FR"/>
        </w:rPr>
        <w:t xml:space="preserve"> ; </w:t>
      </w:r>
      <w:r>
        <w:rPr>
          <w:lang w:val="fr_FR" w:bidi="fr_FR"/>
        </w:rPr>
        <w:t>48.14–16</w:t>
      </w:r>
      <w:r>
        <w:rPr>
          <w:lang w:val="fr_FR" w:bidi="fr_FR"/>
        </w:rPr>
        <w:t xml:space="preserve"> ; </w:t>
      </w:r>
      <w:r>
        <w:rPr>
          <w:lang w:val="fr_FR" w:bidi="fr_FR"/>
        </w:rPr>
        <w:t>Daniel 6.28</w:t>
      </w:r>
      <w:r>
        <w:rPr>
          <w:lang w:val="fr_FR" w:bidi="fr_FR"/>
        </w:rPr>
        <w:t xml:space="preserve"> ; </w:t>
      </w:r>
      <w:r>
        <w:rPr>
          <w:lang w:val="fr_FR" w:bidi="fr_FR"/>
        </w:rPr>
        <w:t>10.1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