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Daniel</w:t>
      </w:r>
      <w:r>
        <w:rPr>
          <w:lang w:val="fr_FR" w:bidi="fr_FR"/>
        </w:rPr>
      </w:r>
    </w:p>
    <w:p>
      <w:pPr/>
      <w:r>
        <w:rPr>
          <w:lang w:val="fr_FR" w:bidi="fr_FR"/>
        </w:rPr>
      </w:r>
      <w:r>
        <w:rPr>
          <w:lang w:val="fr_FR" w:bidi="fr_FR"/>
        </w:rPr>
        <w:t>Daniel est un exemple de foi, de sagesse et de persévérance, même dans les moments difficiles et l'oppression. Sa vie et ses prophéties témoignent que, même lorsque le mal semble dominer, Dieu demeure aux commandes et finit par triompher.</w:t>
      </w:r>
    </w:p>
    <w:p>
      <w:pPr/>
      <w:r>
        <w:rPr>
          <w:lang w:val="fr_FR" w:bidi="fr_FR"/>
        </w:rPr>
      </w:r>
      <w:r>
        <w:rPr>
          <w:lang w:val="fr_FR" w:bidi="fr_FR"/>
        </w:rPr>
        <w:t>Issu de la famille royale de Juda, Daniel fut emmené à Babylone en 605 av. J.-C., lors de la première attaque de l'armée babylonienne sur Jérusalem (</w:t>
      </w:r>
      <w:r>
        <w:rPr>
          <w:lang w:val="fr_FR" w:bidi="fr_FR"/>
        </w:rPr>
        <w:t>Dn 1.3</w:t>
      </w:r>
      <w:r>
        <w:rPr>
          <w:lang w:val="fr_FR" w:bidi="fr_FR"/>
        </w:rPr>
        <w:t>). Il fut ainsi exilé avec ses compagnons Azaria, Hanania et Mischaël. Ces hommes faisaient partie de ceux que le roi Nebucadnetsar forma pour servir dans son empire en expansion. Daniel et ses amis se distinguèrent par leur intelligence et leur vigueur, ce qui leur permit d'accéder à des postes importants à la cour de Nebucadnetsar.</w:t>
      </w:r>
    </w:p>
    <w:p>
      <w:pPr/>
      <w:r>
        <w:rPr>
          <w:lang w:val="fr_FR" w:bidi="fr_FR"/>
        </w:rPr>
      </w:r>
      <w:r>
        <w:rPr>
          <w:lang w:val="fr_FR" w:bidi="fr_FR"/>
        </w:rPr>
        <w:t xml:space="preserve">Pendant près de soixante-dix ans, Daniel travailla à la cour (voir </w:t>
      </w:r>
      <w:r>
        <w:rPr>
          <w:lang w:val="fr_FR" w:bidi="fr_FR"/>
        </w:rPr>
        <w:t>Dn 1.21</w:t>
      </w:r>
      <w:r>
        <w:rPr>
          <w:lang w:val="fr_FR" w:bidi="fr_FR"/>
        </w:rPr>
        <w:t>), et il acquit rapidement la réputation d'un homme d'une rare perspicacité et d'une loyauté sans faille envers Dieu. Lorsque Nebucadnetsar eut un rêve troublant, le Seigneur révéla à Daniel sa signification, et ce dernier exposa, avec clarté, l'interprétation au roi (</w:t>
      </w:r>
      <w:r>
        <w:rPr>
          <w:lang w:val="fr_FR" w:bidi="fr_FR"/>
        </w:rPr>
        <w:t>Dn 2</w:t>
      </w:r>
      <w:r>
        <w:rPr>
          <w:lang w:val="fr_FR" w:bidi="fr_FR"/>
        </w:rPr>
        <w:t>). Plus tard, il interpréta un second rêve, qui dénonçait l'orgueil du souverain (</w:t>
      </w:r>
      <w:r>
        <w:rPr>
          <w:lang w:val="fr_FR" w:bidi="fr_FR"/>
        </w:rPr>
        <w:t>Dn 4</w:t>
      </w:r>
      <w:r>
        <w:rPr>
          <w:lang w:val="fr_FR" w:bidi="fr_FR"/>
        </w:rPr>
        <w:t>). Malgré les exhortations de Daniel pour que Nebucadnetsar se repentît, le roi persista dans son arrogance, ce qui le conduisit, pour un temps, à perdre la raison (</w:t>
      </w:r>
      <w:r>
        <w:rPr>
          <w:lang w:val="fr_FR" w:bidi="fr_FR"/>
        </w:rPr>
        <w:t>Dn 4.28–37</w:t>
      </w:r>
      <w:r>
        <w:rPr>
          <w:lang w:val="fr_FR" w:bidi="fr_FR"/>
        </w:rPr>
        <w:t>).</w:t>
      </w:r>
    </w:p>
    <w:p>
      <w:pPr/>
      <w:r>
        <w:rPr>
          <w:lang w:val="fr_FR" w:bidi="fr_FR"/>
        </w:rPr>
      </w:r>
      <w:r>
        <w:rPr>
          <w:lang w:val="fr_FR" w:bidi="fr_FR"/>
        </w:rPr>
        <w:t>Toujours respectueux envers le roi babylonien, Daniel inspira un profond respect chez Nebucadnetsar, lequel, touché par son bon caractère, finit par adorer le Seigneur, quoique de manière imparfaite. La fidélité et la sagesse de Daniel continuent d'inspirer aujourd'hui ceux qui vivent dans des cultures hostiles.</w:t>
      </w:r>
    </w:p>
    <w:p>
      <w:pPr/>
      <w:r>
        <w:rPr>
          <w:lang w:val="fr_FR" w:bidi="fr_FR"/>
        </w:rPr>
      </w:r>
      <w:r>
        <w:rPr>
          <w:lang w:val="fr_FR" w:bidi="fr_FR"/>
        </w:rPr>
        <w:t>Plus tard, lors d'un banquet en 539 av. J.-C., Belschatsar, vice-régent de Babylone, agit de manière irrespectueuse en utilisant les vases sacrés venant du temple de Jérusalem. Soudain, une main désincarnée inscrivit sur le mur du palais les mots « Mene, Mene, Tekel, et Parsin », ce qui signifie « Compté, compté, pesé, et divisé ». Daniel interpréta ces mots comme annonçant la chute imminente de Babylone, et cette nuit là, les Perses prirent la capitale et mirent fin au règne de Belschatsar (</w:t>
      </w:r>
      <w:r>
        <w:rPr>
          <w:lang w:val="fr_FR" w:bidi="fr_FR"/>
        </w:rPr>
        <w:t>Dn 5.1–31</w:t>
      </w:r>
      <w:r>
        <w:rPr>
          <w:lang w:val="fr_FR" w:bidi="fr_FR"/>
        </w:rPr>
        <w:t>).</w:t>
      </w:r>
    </w:p>
    <w:p>
      <w:pPr/>
      <w:r>
        <w:rPr>
          <w:lang w:val="fr_FR" w:bidi="fr_FR"/>
        </w:rPr>
      </w:r>
      <w:r>
        <w:rPr>
          <w:lang w:val="fr_FR" w:bidi="fr_FR"/>
        </w:rPr>
        <w:t>En 539 av. J.-C., sous le règne de Darius le Mède, Daniel fut nommé administrateur du royaume (</w:t>
      </w:r>
      <w:r>
        <w:rPr>
          <w:lang w:val="fr_FR" w:bidi="fr_FR"/>
        </w:rPr>
        <w:t>Dn 6.2</w:t>
      </w:r>
      <w:r>
        <w:rPr>
          <w:lang w:val="fr_FR" w:bidi="fr_FR"/>
        </w:rPr>
        <w:t>). Sa gestion efficace lui attira la colère de ses ennemis politiques, qui persuadèrent Darius de décréter qu'il ne fallait adorer que le roi, sous peine d'être jeté dans une fosse aux lions. Refusant de renoncer à sa foi, Daniel ne respecta pas la loi et continua d'adorer Dieu, et, miraculeusement, il fut épargné par les lions, puis rétabli à son poste (</w:t>
      </w:r>
      <w:r>
        <w:rPr>
          <w:lang w:val="fr_FR" w:bidi="fr_FR"/>
        </w:rPr>
        <w:t>Dn 6.17–28</w:t>
      </w:r>
      <w:r>
        <w:rPr>
          <w:lang w:val="fr_FR" w:bidi="fr_FR"/>
        </w:rPr>
        <w:t>). Les visions ultérieures de Daniel datent de cette époque (</w:t>
      </w:r>
      <w:r>
        <w:rPr>
          <w:lang w:val="fr_FR" w:bidi="fr_FR"/>
        </w:rPr>
        <w:t>Dn 10.1</w:t>
      </w:r>
      <w:r>
        <w:rPr>
          <w:lang w:val="fr_FR" w:bidi="fr_FR"/>
        </w:rPr>
        <w:t xml:space="preserve">, </w:t>
      </w:r>
      <w:r>
        <w:rPr>
          <w:lang w:val="fr_FR" w:bidi="fr_FR"/>
        </w:rPr>
        <w:t>4</w:t>
      </w:r>
      <w:r>
        <w:rPr>
          <w:lang w:val="fr_FR" w:bidi="fr_FR"/>
        </w:rPr>
        <w:t>).</w:t>
      </w:r>
    </w:p>
    <w:p>
      <w:pPr/>
      <w:r>
        <w:rPr>
          <w:lang w:val="fr_FR" w:bidi="fr_FR"/>
        </w:rPr>
      </w:r>
      <w:r>
        <w:rPr>
          <w:lang w:val="fr_FR" w:bidi="fr_FR"/>
        </w:rPr>
        <w:t xml:space="preserve">Bien que les prophéties de Daniel soient parfois difficiles à comprendre dans le détail, leur message est clair : si les forces du mal semblent régner aujourd'hui, Dieu contrôle la situation et viendra sauver son peuple. Jésus et les auteurs du Nouveau Testament citent souvent le livre de Daniel, et utilisent la même imagerie lorsqu'ils discutent de la fin des temps (par exemple, comparez </w:t>
      </w:r>
      <w:r>
        <w:rPr>
          <w:lang w:val="fr_FR" w:bidi="fr_FR"/>
        </w:rPr>
        <w:t>Dn 7.1–9</w:t>
      </w:r>
      <w:r>
        <w:rPr>
          <w:lang w:val="fr_FR" w:bidi="fr_FR"/>
        </w:rPr>
        <w:t xml:space="preserve"> et </w:t>
      </w:r>
      <w:r>
        <w:rPr>
          <w:lang w:val="fr_FR" w:bidi="fr_FR"/>
        </w:rPr>
        <w:t>Ap 13.1–10</w:t>
      </w:r>
      <w:r>
        <w:rPr>
          <w:lang w:val="fr_FR" w:bidi="fr_FR"/>
        </w:rPr>
        <w:t xml:space="preserve"> ; </w:t>
      </w:r>
      <w:r>
        <w:rPr>
          <w:lang w:val="fr_FR" w:bidi="fr_FR"/>
        </w:rPr>
        <w:t>Dn 7.13</w:t>
      </w:r>
      <w:r>
        <w:rPr>
          <w:lang w:val="fr_FR" w:bidi="fr_FR"/>
        </w:rPr>
        <w:t xml:space="preserve"> et </w:t>
      </w:r>
      <w:r>
        <w:rPr>
          <w:lang w:val="fr_FR" w:bidi="fr_FR"/>
        </w:rPr>
        <w:t>Ap 1.7</w:t>
      </w:r>
      <w:r>
        <w:rPr>
          <w:lang w:val="fr_FR" w:bidi="fr_FR"/>
        </w:rPr>
        <w:t xml:space="preserve"> ; </w:t>
      </w:r>
      <w:r>
        <w:rPr>
          <w:lang w:val="fr_FR" w:bidi="fr_FR"/>
        </w:rPr>
        <w:t>Dn 9.27</w:t>
      </w:r>
      <w:r>
        <w:rPr>
          <w:lang w:val="fr_FR" w:bidi="fr_FR"/>
        </w:rPr>
        <w:t xml:space="preserve"> et </w:t>
      </w:r>
      <w:r>
        <w:rPr>
          <w:lang w:val="fr_FR" w:bidi="fr_FR"/>
        </w:rPr>
        <w:t>Mt 24.15</w:t>
      </w:r>
      <w:r>
        <w:rPr>
          <w:lang w:val="fr_FR" w:bidi="fr_FR"/>
        </w:rPr>
        <w:t>). Daniel était certain que le Très-Haut triompherait.</w:t>
      </w:r>
    </w:p>
    <w:p>
      <w:pPr/>
      <w:r>
        <w:rPr>
          <w:lang w:val="fr_FR" w:bidi="fr_FR"/>
        </w:rPr>
      </w:r>
      <w:r>
        <w:rPr>
          <w:u w:val="single"/>
          <w:lang w:val="fr_FR" w:bidi="fr_FR"/>
        </w:rPr>
        <w:t>Passages pour une étude approfondie</w:t>
      </w:r>
    </w:p>
    <w:p>
      <w:pPr/>
      <w:r>
        <w:rPr>
          <w:lang w:val="fr_FR" w:bidi="fr_FR"/>
        </w:rPr>
      </w:r>
      <w:r>
        <w:rPr>
          <w:lang w:val="fr_FR" w:bidi="fr_FR"/>
        </w:rPr>
        <w:t>Ézéchiel 14.14</w:t>
      </w:r>
      <w:r>
        <w:rPr>
          <w:lang w:val="fr_FR" w:bidi="fr_FR"/>
        </w:rPr>
        <w:t xml:space="preserve">, </w:t>
      </w:r>
      <w:r>
        <w:rPr>
          <w:lang w:val="fr_FR" w:bidi="fr_FR"/>
        </w:rPr>
        <w:t xml:space="preserve">20 </w:t>
      </w:r>
      <w:r>
        <w:rPr>
          <w:lang w:val="fr_FR" w:bidi="fr_FR"/>
        </w:rPr>
        <w:t xml:space="preserve">; </w:t>
      </w:r>
      <w:r>
        <w:rPr>
          <w:lang w:val="fr_FR" w:bidi="fr_FR"/>
        </w:rPr>
        <w:t xml:space="preserve">28.3 </w:t>
      </w:r>
      <w:r>
        <w:rPr>
          <w:lang w:val="fr_FR" w:bidi="fr_FR"/>
        </w:rPr>
        <w:t xml:space="preserve">; </w:t>
      </w:r>
      <w:r>
        <w:rPr>
          <w:lang w:val="fr_FR" w:bidi="fr_FR"/>
        </w:rPr>
        <w:t xml:space="preserve">Daniel 1.1–12.13 </w:t>
      </w:r>
      <w:r>
        <w:rPr>
          <w:lang w:val="fr_FR" w:bidi="fr_FR"/>
        </w:rPr>
        <w:t xml:space="preserve">; </w:t>
      </w:r>
      <w:r>
        <w:rPr>
          <w:lang w:val="fr_FR" w:bidi="fr_FR"/>
        </w:rPr>
        <w:t>Matthieu 24.15</w:t>
      </w:r>
      <w:r>
        <w:rPr>
          <w:lang w:val="fr_FR" w:bidi="fr_FR"/>
        </w:rPr>
      </w:r>
      <w:r>
        <w:rPr>
          <w:lang w:val="fr_FR" w:bidi="fr_FR"/>
        </w:rPr>
      </w:r>
    </w:p>
    <w:p>
      <w:pPr/>
      <w:r>
        <w:rPr>
          <w:lang w:val="fr_FR" w:bidi="fr_FR"/>
        </w:rPr>
      </w:r>
    </w:p>
    <w:p>
      <w:pPr>
        <w:pStyle w:val="Heading2"/>
      </w:pPr>
      <w:r>
        <w:rPr>
          <w:lang w:val="fr_FR" w:bidi="fr_FR"/>
        </w:rPr>
        <w:t>David</w:t>
      </w:r>
      <w:r>
        <w:rPr>
          <w:lang w:val="fr_FR" w:bidi="fr_FR"/>
        </w:rPr>
      </w:r>
    </w:p>
    <w:p>
      <w:pPr/>
      <w:r>
        <w:rPr>
          <w:lang w:val="fr_FR" w:bidi="fr_FR"/>
        </w:rPr>
      </w:r>
      <w:r>
        <w:rPr>
          <w:lang w:val="fr_FR" w:bidi="fr_FR"/>
        </w:rPr>
        <w:t>David est un des personnages les plus importants de l'ensemble de la Bible et son règne marque une période toute particulière concernant les desseins de Dieu pour Israël. Son histoire a laissé une empreinte indélébile sur l'avenir de la nation.</w:t>
      </w:r>
    </w:p>
    <w:p>
      <w:pPr/>
      <w:r>
        <w:rPr>
          <w:lang w:val="fr_FR" w:bidi="fr_FR"/>
        </w:rPr>
      </w:r>
      <w:r>
        <w:rPr>
          <w:lang w:val="fr_FR" w:bidi="fr_FR"/>
        </w:rPr>
        <w:t>Né à Bethléhem et plus jeune fils d'Isaï, David descend de la lignée royale de Juda (</w:t>
      </w:r>
      <w:r>
        <w:rPr>
          <w:lang w:val="fr_FR" w:bidi="fr_FR"/>
        </w:rPr>
        <w:t>Rt 4.18–22</w:t>
      </w:r>
      <w:r>
        <w:rPr>
          <w:lang w:val="fr_FR" w:bidi="fr_FR"/>
        </w:rPr>
        <w:t xml:space="preserve"> ; </w:t>
      </w:r>
      <w:r>
        <w:rPr>
          <w:lang w:val="fr_FR" w:bidi="fr_FR"/>
        </w:rPr>
        <w:t>1Ch 2.3–15</w:t>
      </w:r>
      <w:r>
        <w:rPr>
          <w:lang w:val="fr_FR" w:bidi="fr_FR"/>
        </w:rPr>
        <w:t xml:space="preserve"> ; </w:t>
      </w:r>
      <w:r>
        <w:rPr>
          <w:lang w:val="fr_FR" w:bidi="fr_FR"/>
        </w:rPr>
        <w:t>Mt 1.3–6</w:t>
      </w:r>
      <w:r>
        <w:rPr>
          <w:lang w:val="fr_FR" w:bidi="fr_FR"/>
        </w:rPr>
        <w:t xml:space="preserve"> ; </w:t>
      </w:r>
      <w:r>
        <w:rPr>
          <w:lang w:val="fr_FR" w:bidi="fr_FR"/>
        </w:rPr>
        <w:t>Lc 3.31–33</w:t>
      </w:r>
      <w:r>
        <w:rPr>
          <w:lang w:val="fr_FR" w:bidi="fr_FR"/>
        </w:rPr>
        <w:t>). À l'époque de sa naissance, Jérusalem était encore occupée par les Jébusiens, et une grande partie de la Terre promise restait sous la domination d'étrangers, notamment les Philistins. C'est dans ce contexte que Dieu choisit David pour achever la conquête de la terre.</w:t>
      </w:r>
    </w:p>
    <w:p>
      <w:pPr/>
      <w:r>
        <w:rPr>
          <w:lang w:val="fr_FR" w:bidi="fr_FR"/>
        </w:rPr>
      </w:r>
      <w:r>
        <w:rPr>
          <w:lang w:val="fr_FR" w:bidi="fr_FR"/>
        </w:rPr>
        <w:t>Jeune homme, David était un simple berger, veillant sur le troupeau de brebis de son père (</w:t>
      </w:r>
      <w:r>
        <w:rPr>
          <w:lang w:val="fr_FR" w:bidi="fr_FR"/>
        </w:rPr>
        <w:t>1S 16.11</w:t>
      </w:r>
      <w:r>
        <w:rPr>
          <w:lang w:val="fr_FR" w:bidi="fr_FR"/>
        </w:rPr>
        <w:t xml:space="preserve"> ; </w:t>
      </w:r>
      <w:r>
        <w:rPr>
          <w:lang w:val="fr_FR" w:bidi="fr_FR"/>
        </w:rPr>
        <w:t>17.14–15</w:t>
      </w:r>
      <w:r>
        <w:rPr>
          <w:lang w:val="fr_FR" w:bidi="fr_FR"/>
        </w:rPr>
        <w:t>). Sa vie prit un tournant inattendu lorsque le prophète Samuel visita Isaï et oint David comme futur roi d'Israël. Cependant, David n'est pas devenu roi par un coup d'État ou un assassinat. Bien plutôt, il a servi fidèlement le roi Saül. David rejoignit d'abord la cour du roi en tant que musicien, jouant des airs apaisants pour calmer l'esprit tourmenté de Saül (</w:t>
      </w:r>
      <w:r>
        <w:rPr>
          <w:lang w:val="fr_FR" w:bidi="fr_FR"/>
        </w:rPr>
        <w:t>1S 16.14–23</w:t>
      </w:r>
      <w:r>
        <w:rPr>
          <w:lang w:val="fr_FR" w:bidi="fr_FR"/>
        </w:rPr>
        <w:t>) : c'était un rôle qui préfigurait sa future activité de compositeur de nombreux psaumes. Le jeune David est également connu pour son combat contre Goliath, où il aida l'armée de Saül à battre Goliath, le champion philistin (</w:t>
      </w:r>
      <w:r>
        <w:rPr>
          <w:lang w:val="fr_FR" w:bidi="fr_FR"/>
        </w:rPr>
        <w:t>1S 17.32–51</w:t>
      </w:r>
      <w:r>
        <w:rPr>
          <w:lang w:val="fr_FR" w:bidi="fr_FR"/>
        </w:rPr>
        <w:t>). Cette victoire préfigurait l'avenir de David en tant que chef militaire couronné de succès.</w:t>
      </w:r>
    </w:p>
    <w:p>
      <w:pPr/>
      <w:r>
        <w:rPr>
          <w:lang w:val="fr_FR" w:bidi="fr_FR"/>
        </w:rPr>
      </w:r>
      <w:r>
        <w:rPr>
          <w:lang w:val="fr_FR" w:bidi="fr_FR"/>
        </w:rPr>
        <w:t>David était loyal à Saül, mais il suscita la méfiance grandissante de ce dernier, qui le poursuivit et le contraignit à fuir. Aidé par les enfants de Saül, Jonathan et Mical, David s'échappa et dirigea un royaume en exil, composé d'une armée de six cents hommes. Accompagné du prophète Gad et du prêtre Abiathar, il reçut les conseils du Seigneur dans ces heures d'incertitude.</w:t>
      </w:r>
    </w:p>
    <w:p>
      <w:pPr/>
      <w:r>
        <w:rPr>
          <w:lang w:val="fr_FR" w:bidi="fr_FR"/>
        </w:rPr>
      </w:r>
      <w:r>
        <w:rPr>
          <w:lang w:val="fr_FR" w:bidi="fr_FR"/>
        </w:rPr>
        <w:t>Finalement, la patience de Dieu envers Saül prit fin, et ce dernier périt au combat. Toutefois, l'accession de David en tant que souverain d'Israël ne fut pas immédiate. La tribu de Juda le fait rapidement roi, tandis que les tribus du Nord optèrent d'abord pour Ishbosheth, le fils de Saül. Bien que faible et inefficace, il resta au pouvoir quelque temps grâce à l'influence d'Abner, chef militaire de son père. Cependant, lorsque Ishbosheth insulta Abner, ce dernier s'empressa de faciliter le transfert du royaume à David.</w:t>
      </w:r>
    </w:p>
    <w:p>
      <w:pPr/>
      <w:r>
        <w:rPr>
          <w:lang w:val="fr_FR" w:bidi="fr_FR"/>
        </w:rPr>
      </w:r>
      <w:r>
        <w:rPr>
          <w:lang w:val="fr_FR" w:bidi="fr_FR"/>
        </w:rPr>
        <w:t>Devenu roi d'un Israël uni, David renforça le royaume. Lui et ses hommes capturèrent Jérusalem aux Jébusiens et en firent leur capitale. Ils repoussèrent les derniers Philistins hors du pays. David amena ensuite l'arche de l'alliance à Jérusalem, manifestant ainsi son désir de bâtir un temple permanent pour Dieu. Bien que le Seigneur n'ait pas permis la construction de ce temple, il manifesta son amour pour David en concluant une alliance (un accord spécial) avec lui, établissant ses descendants comme une lignée de rois pour toujours (</w:t>
      </w:r>
      <w:r>
        <w:rPr>
          <w:lang w:val="fr_FR" w:bidi="fr_FR"/>
        </w:rPr>
        <w:t>2S 7</w:t>
      </w:r>
      <w:r>
        <w:rPr>
          <w:lang w:val="fr_FR" w:bidi="fr_FR"/>
        </w:rPr>
        <w:t>).</w:t>
      </w:r>
    </w:p>
    <w:p>
      <w:pPr/>
      <w:r>
        <w:rPr>
          <w:lang w:val="fr_FR" w:bidi="fr_FR"/>
        </w:rPr>
      </w:r>
      <w:r>
        <w:rPr>
          <w:lang w:val="fr_FR" w:bidi="fr_FR"/>
        </w:rPr>
        <w:t xml:space="preserve">Mais la vie de David ne tarda pas à se détériorer (voir </w:t>
      </w:r>
      <w:r>
        <w:rPr>
          <w:lang w:val="fr_FR" w:bidi="fr_FR"/>
        </w:rPr>
        <w:t>2S 11–12</w:t>
      </w:r>
      <w:r>
        <w:rPr>
          <w:lang w:val="fr_FR" w:bidi="fr_FR"/>
        </w:rPr>
        <w:t xml:space="preserve">). Alors que David aurait dû être avec son armée, il resta sur le toit du palais et aperçut une belle femme, nommée Bath-Schéba, en train de se baigner et la désira. Comme d’autres rois puissants de son époque, qui prenaient ce qu’ils voulaient, il prit Bath-Shéba pour lui. Elle tomba enceinte, et sa tentative de cacher son adultère échoua. Désespéré, David fit tuer son mari, Urie. Cependant, même un grand roi comme David ne peut dissimuler ses fautes devant Dieu. Le Seigneur envoya le prophète Nathan pour confronter David, qui, accablé par la culpabilité, confessa son péché et se repentit (voir </w:t>
      </w:r>
      <w:r>
        <w:rPr>
          <w:lang w:val="fr_FR" w:bidi="fr_FR"/>
        </w:rPr>
        <w:t>Ps 32</w:t>
      </w:r>
      <w:r>
        <w:rPr>
          <w:lang w:val="fr_FR" w:bidi="fr_FR"/>
        </w:rPr>
        <w:t xml:space="preserve">, </w:t>
      </w:r>
      <w:r>
        <w:rPr>
          <w:lang w:val="fr_FR" w:bidi="fr_FR"/>
        </w:rPr>
        <w:t>51</w:t>
      </w:r>
      <w:r>
        <w:rPr>
          <w:lang w:val="fr_FR" w:bidi="fr_FR"/>
        </w:rPr>
        <w:t>). Mais le péché de David affecta profondément sa famille et son règne.</w:t>
      </w:r>
    </w:p>
    <w:p>
      <w:pPr/>
      <w:r>
        <w:rPr>
          <w:lang w:val="fr_FR" w:bidi="fr_FR"/>
        </w:rPr>
      </w:r>
      <w:r>
        <w:rPr>
          <w:lang w:val="fr_FR" w:bidi="fr_FR"/>
        </w:rPr>
        <w:t>À partir de ce moment-là, la famille de David rentra dans un cycle de problèmes et de conflits. Amnon, l'un des fils de David, viola sa demi-sœur Tamar (</w:t>
      </w:r>
      <w:r>
        <w:rPr>
          <w:lang w:val="fr_FR" w:bidi="fr_FR"/>
        </w:rPr>
        <w:t>2S 13.1–14</w:t>
      </w:r>
      <w:r>
        <w:rPr>
          <w:lang w:val="fr_FR" w:bidi="fr_FR"/>
        </w:rPr>
        <w:t>). Son frère Absalom tua Amnon pour se venger (</w:t>
      </w:r>
      <w:r>
        <w:rPr>
          <w:lang w:val="fr_FR" w:bidi="fr_FR"/>
        </w:rPr>
        <w:t>2S 13.20–29</w:t>
      </w:r>
      <w:r>
        <w:rPr>
          <w:lang w:val="fr_FR" w:bidi="fr_FR"/>
        </w:rPr>
        <w:t>). Absalom déclencha ensuite une guerre civile en essayant de devenir roi à la place de son père (</w:t>
      </w:r>
      <w:r>
        <w:rPr>
          <w:lang w:val="fr_FR" w:bidi="fr_FR"/>
        </w:rPr>
        <w:t>2S 15–18</w:t>
      </w:r>
      <w:r>
        <w:rPr>
          <w:lang w:val="fr_FR" w:bidi="fr_FR"/>
        </w:rPr>
        <w:t>). Un autre fils, Adonija, essaya de devenir roi à la place de David en se proclamant roi alors que son père était encore en vie (</w:t>
      </w:r>
      <w:r>
        <w:rPr>
          <w:lang w:val="fr_FR" w:bidi="fr_FR"/>
        </w:rPr>
        <w:t>1R 1.5–10</w:t>
      </w:r>
      <w:r>
        <w:rPr>
          <w:lang w:val="fr_FR" w:bidi="fr_FR"/>
        </w:rPr>
        <w:t>). Cependant, David parvint à asseoir son autorité et s'assura que Salomon, son fils, lui succéderait (</w:t>
      </w:r>
      <w:r>
        <w:rPr>
          <w:lang w:val="fr_FR" w:bidi="fr_FR"/>
        </w:rPr>
        <w:t>1R 1.28–40</w:t>
      </w:r>
      <w:r>
        <w:rPr>
          <w:lang w:val="fr_FR" w:bidi="fr_FR"/>
        </w:rPr>
        <w:t xml:space="preserve">). Ainsi, à la mort de père, Salomon devint le premier de nombreux rois issus de la lignée davidique (comme promis dans </w:t>
      </w:r>
      <w:r>
        <w:rPr>
          <w:lang w:val="fr_FR" w:bidi="fr_FR"/>
        </w:rPr>
        <w:t>2S 7</w:t>
      </w:r>
      <w:r>
        <w:rPr>
          <w:lang w:val="fr_FR" w:bidi="fr_FR"/>
        </w:rPr>
        <w:t>).</w:t>
      </w:r>
    </w:p>
    <w:p>
      <w:pPr/>
      <w:r>
        <w:rPr>
          <w:lang w:val="fr_FR" w:bidi="fr_FR"/>
        </w:rPr>
      </w:r>
      <w:r>
        <w:rPr>
          <w:lang w:val="fr_FR" w:bidi="fr_FR"/>
        </w:rPr>
        <w:t>Malheureusement, la plupart des successeurs de David ne parvinrent pas à guider Israël avec la même sagesse, et ses descendants menèrent rarement la nation à adorer Dieu fidèlement. L'unité du royaume d'Israël s'effondra peu après le règne de Salomon, et dans les siècles suivants, seuls les rois de Juda continuèrent de régner, jusqu'à la destruction définitive du royaume. Depuis lors, aucun descendant de David ne régna plus sur Israël.</w:t>
      </w:r>
    </w:p>
    <w:p>
      <w:pPr/>
      <w:r>
        <w:rPr>
          <w:lang w:val="fr_FR" w:bidi="fr_FR"/>
        </w:rPr>
      </w:r>
      <w:r>
        <w:rPr>
          <w:lang w:val="fr_FR" w:bidi="fr_FR"/>
        </w:rPr>
        <w:t>Qu'en est-il de la promesse faite à David, selon laquelle « t</w:t>
      </w:r>
      <w:r>
        <w:rPr>
          <w:lang w:val="fr_FR" w:bidi="fr_FR"/>
        </w:rPr>
        <w:t>a maison et ton règne seront pour toujours assurés</w:t>
      </w:r>
      <w:r>
        <w:rPr>
          <w:lang w:val="fr_FR" w:bidi="fr_FR"/>
        </w:rPr>
        <w:t xml:space="preserve"> » (</w:t>
      </w:r>
      <w:r>
        <w:rPr>
          <w:lang w:val="fr_FR" w:bidi="fr_FR"/>
        </w:rPr>
        <w:t>2S 7.16</w:t>
      </w:r>
      <w:r>
        <w:rPr>
          <w:lang w:val="fr_FR" w:bidi="fr_FR"/>
        </w:rPr>
        <w:t xml:space="preserve">) ? Le Nouveau Testament désigne Jésus comme l'accomplissement de cette promesse. Il était un descendant de David, et Dieu l'a déclaré Christ, ou Messie, c'est-à-dire le roi oint (voir </w:t>
      </w:r>
      <w:r>
        <w:rPr>
          <w:lang w:val="fr_FR" w:bidi="fr_FR"/>
        </w:rPr>
        <w:t xml:space="preserve">Mt 1.1 </w:t>
      </w:r>
      <w:r>
        <w:rPr>
          <w:lang w:val="fr_FR" w:bidi="fr_FR"/>
        </w:rPr>
        <w:t xml:space="preserve">; </w:t>
      </w:r>
      <w:r>
        <w:rPr>
          <w:lang w:val="fr_FR" w:bidi="fr_FR"/>
        </w:rPr>
        <w:t xml:space="preserve">9.27 </w:t>
      </w:r>
      <w:r>
        <w:rPr>
          <w:lang w:val="fr_FR" w:bidi="fr_FR"/>
        </w:rPr>
        <w:t xml:space="preserve">; </w:t>
      </w:r>
      <w:r>
        <w:rPr>
          <w:lang w:val="fr_FR" w:bidi="fr_FR"/>
        </w:rPr>
        <w:t xml:space="preserve">12.23 </w:t>
      </w:r>
      <w:r>
        <w:rPr>
          <w:lang w:val="fr_FR" w:bidi="fr_FR"/>
        </w:rPr>
        <w:t xml:space="preserve">; </w:t>
      </w:r>
      <w:r>
        <w:rPr>
          <w:lang w:val="fr_FR" w:bidi="fr_FR"/>
        </w:rPr>
        <w:t xml:space="preserve">Mc 10.47–48 </w:t>
      </w:r>
      <w:r>
        <w:rPr>
          <w:lang w:val="fr_FR" w:bidi="fr_FR"/>
        </w:rPr>
        <w:t xml:space="preserve">; </w:t>
      </w:r>
      <w:r>
        <w:rPr>
          <w:lang w:val="fr_FR" w:bidi="fr_FR"/>
        </w:rPr>
        <w:t xml:space="preserve">11.10 </w:t>
      </w:r>
      <w:r>
        <w:rPr>
          <w:lang w:val="fr_FR" w:bidi="fr_FR"/>
        </w:rPr>
        <w:t xml:space="preserve">; </w:t>
      </w:r>
      <w:r>
        <w:rPr>
          <w:lang w:val="fr_FR" w:bidi="fr_FR"/>
        </w:rPr>
        <w:t xml:space="preserve">12.35–37 </w:t>
      </w:r>
      <w:r>
        <w:rPr>
          <w:lang w:val="fr_FR" w:bidi="fr_FR"/>
        </w:rPr>
        <w:t xml:space="preserve">; </w:t>
      </w:r>
      <w:r>
        <w:rPr>
          <w:lang w:val="fr_FR" w:bidi="fr_FR"/>
        </w:rPr>
        <w:t xml:space="preserve">Lc 18.38–39 </w:t>
      </w:r>
      <w:r>
        <w:rPr>
          <w:lang w:val="fr_FR" w:bidi="fr_FR"/>
        </w:rPr>
        <w:t xml:space="preserve">; </w:t>
      </w:r>
      <w:r>
        <w:rPr>
          <w:lang w:val="fr_FR" w:bidi="fr_FR"/>
        </w:rPr>
        <w:t xml:space="preserve">20.41–44 </w:t>
      </w:r>
      <w:r>
        <w:rPr>
          <w:lang w:val="fr_FR" w:bidi="fr_FR"/>
        </w:rPr>
        <w:t xml:space="preserve">; </w:t>
      </w:r>
      <w:r>
        <w:rPr>
          <w:lang w:val="fr_FR" w:bidi="fr_FR"/>
        </w:rPr>
        <w:t xml:space="preserve">Jn 7.42 </w:t>
      </w:r>
      <w:r>
        <w:rPr>
          <w:lang w:val="fr_FR" w:bidi="fr_FR"/>
        </w:rPr>
        <w:t xml:space="preserve">; </w:t>
      </w:r>
      <w:r>
        <w:rPr>
          <w:lang w:val="fr_FR" w:bidi="fr_FR"/>
        </w:rPr>
        <w:t xml:space="preserve">Ap 5.5 </w:t>
      </w:r>
      <w:r>
        <w:rPr>
          <w:lang w:val="fr_FR" w:bidi="fr_FR"/>
        </w:rPr>
        <w:t xml:space="preserve">; </w:t>
      </w:r>
      <w:r>
        <w:rPr>
          <w:lang w:val="fr_FR" w:bidi="fr_FR"/>
        </w:rPr>
        <w:t>22.16</w:t>
      </w:r>
      <w:r>
        <w:rPr>
          <w:lang w:val="fr_FR" w:bidi="fr_FR"/>
        </w:rPr>
        <w:t xml:space="preserve">). La vie et le règne de David préfigurent ainsi le règne messianique de Jésus-Christ, qui sera éternel (voir </w:t>
      </w:r>
      <w:r>
        <w:rPr>
          <w:lang w:val="fr_FR" w:bidi="fr_FR"/>
        </w:rPr>
        <w:t xml:space="preserve">Lc 1.32–33 </w:t>
      </w:r>
      <w:r>
        <w:rPr>
          <w:lang w:val="fr_FR" w:bidi="fr_FR"/>
        </w:rPr>
        <w:t xml:space="preserve">; </w:t>
      </w:r>
      <w:r>
        <w:rPr>
          <w:lang w:val="fr_FR" w:bidi="fr_FR"/>
        </w:rPr>
        <w:t>Ap 11.15</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Rt 4.13–22</w:t>
      </w:r>
      <w:r>
        <w:rPr>
          <w:lang w:val="fr_FR" w:bidi="fr_FR"/>
        </w:rPr>
        <w:t xml:space="preserve"> ; </w:t>
      </w:r>
      <w:r>
        <w:rPr>
          <w:lang w:val="fr_FR" w:bidi="fr_FR"/>
        </w:rPr>
        <w:t>1S 16.1–17.58</w:t>
      </w:r>
      <w:r>
        <w:rPr>
          <w:lang w:val="fr_FR" w:bidi="fr_FR"/>
        </w:rPr>
        <w:t xml:space="preserve"> ; </w:t>
      </w:r>
      <w:r>
        <w:rPr>
          <w:lang w:val="fr_FR" w:bidi="fr_FR"/>
        </w:rPr>
        <w:t>18.1–27.12</w:t>
      </w:r>
      <w:r>
        <w:rPr>
          <w:lang w:val="fr_FR" w:bidi="fr_FR"/>
        </w:rPr>
        <w:t xml:space="preserve"> ; </w:t>
      </w:r>
      <w:r>
        <w:rPr>
          <w:lang w:val="fr_FR" w:bidi="fr_FR"/>
        </w:rPr>
        <w:t>29.1–30.31</w:t>
      </w:r>
      <w:r>
        <w:rPr>
          <w:lang w:val="fr_FR" w:bidi="fr_FR"/>
        </w:rPr>
        <w:t xml:space="preserve"> ; </w:t>
      </w:r>
      <w:r>
        <w:rPr>
          <w:lang w:val="fr_FR" w:bidi="fr_FR"/>
        </w:rPr>
        <w:t>2S 1.1–24.25</w:t>
      </w:r>
      <w:r>
        <w:rPr>
          <w:lang w:val="fr_FR" w:bidi="fr_FR"/>
        </w:rPr>
        <w:t xml:space="preserve"> ; </w:t>
      </w:r>
      <w:r>
        <w:rPr>
          <w:lang w:val="fr_FR" w:bidi="fr_FR"/>
        </w:rPr>
        <w:t>1R 1.1–2.12</w:t>
      </w:r>
      <w:r>
        <w:rPr>
          <w:lang w:val="fr_FR" w:bidi="fr_FR"/>
        </w:rPr>
        <w:t xml:space="preserve"> ; </w:t>
      </w:r>
      <w:r>
        <w:rPr>
          <w:lang w:val="fr_FR" w:bidi="fr_FR"/>
        </w:rPr>
        <w:t>1Ch 11.1–29.30</w:t>
      </w:r>
      <w:r>
        <w:rPr>
          <w:lang w:val="fr_FR" w:bidi="fr_FR"/>
        </w:rPr>
        <w:t xml:space="preserve"> ; </w:t>
      </w:r>
      <w:r>
        <w:rPr>
          <w:lang w:val="fr_FR" w:bidi="fr_FR"/>
        </w:rPr>
        <w:t>Ps 1–32</w:t>
      </w:r>
      <w:r>
        <w:rPr>
          <w:lang w:val="fr_FR" w:bidi="fr_FR"/>
        </w:rPr>
        <w:t xml:space="preserve">, </w:t>
      </w:r>
      <w:r>
        <w:rPr>
          <w:lang w:val="fr_FR" w:bidi="fr_FR"/>
        </w:rPr>
        <w:t>34–41</w:t>
      </w:r>
      <w:r>
        <w:rPr>
          <w:lang w:val="fr_FR" w:bidi="fr_FR"/>
        </w:rPr>
        <w:t xml:space="preserve">, </w:t>
      </w:r>
      <w:r>
        <w:rPr>
          <w:lang w:val="fr_FR" w:bidi="fr_FR"/>
        </w:rPr>
        <w:t>51–71</w:t>
      </w:r>
      <w:r>
        <w:rPr>
          <w:lang w:val="fr_FR" w:bidi="fr_FR"/>
        </w:rPr>
        <w:t xml:space="preserve">, </w:t>
      </w:r>
      <w:r>
        <w:rPr>
          <w:lang w:val="fr_FR" w:bidi="fr_FR"/>
        </w:rPr>
        <w:t>86</w:t>
      </w:r>
      <w:r>
        <w:rPr>
          <w:lang w:val="fr_FR" w:bidi="fr_FR"/>
        </w:rPr>
        <w:t xml:space="preserve">, </w:t>
      </w:r>
      <w:r>
        <w:rPr>
          <w:lang w:val="fr_FR" w:bidi="fr_FR"/>
        </w:rPr>
        <w:t>91–110</w:t>
      </w:r>
      <w:r>
        <w:rPr>
          <w:lang w:val="fr_FR" w:bidi="fr_FR"/>
        </w:rPr>
        <w:t xml:space="preserve">, </w:t>
      </w:r>
      <w:r>
        <w:rPr>
          <w:lang w:val="fr_FR" w:bidi="fr_FR"/>
        </w:rPr>
        <w:t>122</w:t>
      </w:r>
      <w:r>
        <w:rPr>
          <w:lang w:val="fr_FR" w:bidi="fr_FR"/>
        </w:rPr>
        <w:t xml:space="preserve">, </w:t>
      </w:r>
      <w:r>
        <w:rPr>
          <w:lang w:val="fr_FR" w:bidi="fr_FR"/>
        </w:rPr>
        <w:t>124</w:t>
      </w:r>
      <w:r>
        <w:rPr>
          <w:lang w:val="fr_FR" w:bidi="fr_FR"/>
        </w:rPr>
        <w:t xml:space="preserve">, </w:t>
      </w:r>
      <w:r>
        <w:rPr>
          <w:lang w:val="fr_FR" w:bidi="fr_FR"/>
        </w:rPr>
        <w:t>131</w:t>
      </w:r>
      <w:r>
        <w:rPr>
          <w:lang w:val="fr_FR" w:bidi="fr_FR"/>
        </w:rPr>
        <w:t xml:space="preserve">, </w:t>
      </w:r>
      <w:r>
        <w:rPr>
          <w:lang w:val="fr_FR" w:bidi="fr_FR"/>
        </w:rPr>
        <w:t>133</w:t>
      </w:r>
      <w:r>
        <w:rPr>
          <w:lang w:val="fr_FR" w:bidi="fr_FR"/>
        </w:rPr>
        <w:t xml:space="preserve">, </w:t>
      </w:r>
      <w:r>
        <w:rPr>
          <w:lang w:val="fr_FR" w:bidi="fr_FR"/>
        </w:rPr>
        <w:t>138–145</w:t>
      </w:r>
      <w:r>
        <w:rPr>
          <w:lang w:val="fr_FR" w:bidi="fr_FR"/>
        </w:rPr>
        <w:t xml:space="preserve"> ; </w:t>
      </w:r>
      <w:r>
        <w:rPr>
          <w:lang w:val="fr_FR" w:bidi="fr_FR"/>
        </w:rPr>
        <w:t>Mt 1.1</w:t>
      </w:r>
      <w:r>
        <w:rPr>
          <w:lang w:val="fr_FR" w:bidi="fr_FR"/>
        </w:rPr>
        <w:t xml:space="preserve"> ; </w:t>
      </w:r>
      <w:r>
        <w:rPr>
          <w:lang w:val="fr_FR" w:bidi="fr_FR"/>
        </w:rPr>
        <w:t>9.27</w:t>
      </w:r>
      <w:r>
        <w:rPr>
          <w:lang w:val="fr_FR" w:bidi="fr_FR"/>
        </w:rPr>
        <w:t xml:space="preserve"> ; </w:t>
      </w:r>
      <w:r>
        <w:rPr>
          <w:lang w:val="fr_FR" w:bidi="fr_FR"/>
        </w:rPr>
        <w:t>22.41–46</w:t>
      </w:r>
      <w:r>
        <w:rPr>
          <w:lang w:val="fr_FR" w:bidi="fr_FR"/>
        </w:rPr>
        <w:t xml:space="preserve"> ; </w:t>
      </w:r>
      <w:r>
        <w:rPr>
          <w:lang w:val="fr_FR" w:bidi="fr_FR"/>
        </w:rPr>
        <w:t>Mc 12.35–37</w:t>
      </w:r>
      <w:r>
        <w:rPr>
          <w:lang w:val="fr_FR" w:bidi="fr_FR"/>
        </w:rPr>
        <w:t xml:space="preserve"> ; </w:t>
      </w:r>
      <w:r>
        <w:rPr>
          <w:lang w:val="fr_FR" w:bidi="fr_FR"/>
        </w:rPr>
        <w:t>Lc 20.41–44</w:t>
      </w:r>
      <w:r>
        <w:rPr>
          <w:lang w:val="fr_FR" w:bidi="fr_FR"/>
        </w:rPr>
        <w:t xml:space="preserve"> ; </w:t>
      </w:r>
      <w:r>
        <w:rPr>
          <w:lang w:val="fr_FR" w:bidi="fr_FR"/>
        </w:rPr>
        <w:t>Jn 7.40–44</w:t>
      </w:r>
      <w:r>
        <w:rPr>
          <w:lang w:val="fr_FR" w:bidi="fr_FR"/>
        </w:rPr>
        <w:t xml:space="preserve"> ; </w:t>
      </w:r>
      <w:r>
        <w:rPr>
          <w:lang w:val="fr_FR" w:bidi="fr_FR"/>
        </w:rPr>
        <w:t>Ac 2.22–37</w:t>
      </w:r>
      <w:r>
        <w:rPr>
          <w:lang w:val="fr_FR" w:bidi="fr_FR"/>
        </w:rPr>
        <w:t xml:space="preserve"> ; </w:t>
      </w:r>
      <w:r>
        <w:rPr>
          <w:lang w:val="fr_FR" w:bidi="fr_FR"/>
        </w:rPr>
        <w:t>13.20–43</w:t>
      </w:r>
      <w:r>
        <w:rPr>
          <w:lang w:val="fr_FR" w:bidi="fr_FR"/>
        </w:rPr>
        <w:t xml:space="preserve"> ; </w:t>
      </w:r>
      <w:r>
        <w:rPr>
          <w:lang w:val="fr_FR" w:bidi="fr_FR"/>
        </w:rPr>
        <w:t>Rm 1.3</w:t>
      </w:r>
      <w:r>
        <w:rPr>
          <w:lang w:val="fr_FR" w:bidi="fr_FR"/>
        </w:rPr>
        <w:t xml:space="preserve"> ; </w:t>
      </w:r>
      <w:r>
        <w:rPr>
          <w:lang w:val="fr_FR" w:bidi="fr_FR"/>
        </w:rPr>
        <w:t>Ap 22.16</w:t>
      </w:r>
      <w:r>
        <w:rPr>
          <w:lang w:val="fr_FR" w:bidi="fr_FR"/>
        </w:rPr>
      </w:r>
      <w:r>
        <w:rPr>
          <w:lang w:val="fr_FR" w:bidi="fr_FR"/>
        </w:rPr>
      </w:r>
    </w:p>
    <w:p>
      <w:pPr/>
      <w:r>
        <w:rPr>
          <w:lang w:val="fr_FR" w:bidi="fr_FR"/>
        </w:rPr>
      </w:r>
    </w:p>
    <w:p>
      <w:pPr>
        <w:pStyle w:val="Heading2"/>
      </w:pPr>
      <w:r>
        <w:rPr>
          <w:lang w:val="fr_FR" w:bidi="fr_FR"/>
        </w:rPr>
        <w:t>Débora</w:t>
      </w:r>
      <w:r>
        <w:rPr>
          <w:lang w:val="fr_FR" w:bidi="fr_FR"/>
        </w:rPr>
      </w:r>
    </w:p>
    <w:p>
      <w:pPr/>
      <w:r>
        <w:rPr>
          <w:lang w:val="fr_FR" w:bidi="fr_FR"/>
        </w:rPr>
      </w:r>
      <w:r>
        <w:rPr>
          <w:lang w:val="fr_FR" w:bidi="fr_FR"/>
        </w:rPr>
        <w:t xml:space="preserve">La prophétesse Débora fut l'une des premières juges d'Israël. Elle était une femme intègre et dévoué pour le Seigneur. En tant que prophète, elle recevait des messages divins. En tant que juge, elle réglait des différends juridiques. Les gens la qualifiaient souvent de « mère en Israël » (voir </w:t>
      </w:r>
      <w:r>
        <w:rPr>
          <w:lang w:val="fr_FR" w:bidi="fr_FR"/>
        </w:rPr>
        <w:t>Jg 5.7</w:t>
      </w:r>
      <w:r>
        <w:rPr>
          <w:lang w:val="fr_FR" w:bidi="fr_FR"/>
        </w:rPr>
        <w:t>).</w:t>
      </w:r>
    </w:p>
    <w:p>
      <w:pPr/>
      <w:r>
        <w:rPr>
          <w:lang w:val="fr_FR" w:bidi="fr_FR"/>
        </w:rPr>
      </w:r>
      <w:r>
        <w:rPr>
          <w:lang w:val="fr_FR" w:bidi="fr_FR"/>
        </w:rPr>
        <w:t xml:space="preserve">À l'époque de Débora, le peuple d'Israël s'était égaré : il abandonnait les voies de Dieu pour sombrer dans l'injustice, faisant « </w:t>
      </w:r>
      <w:r>
        <w:rPr>
          <w:lang w:val="fr_FR" w:bidi="fr_FR"/>
        </w:rPr>
        <w:t>ce qui déplaît à l’Éternel »</w:t>
      </w:r>
      <w:r>
        <w:rPr>
          <w:lang w:val="fr_FR" w:bidi="fr_FR"/>
        </w:rPr>
        <w:t xml:space="preserve"> (</w:t>
      </w:r>
      <w:r>
        <w:rPr>
          <w:lang w:val="fr_FR" w:bidi="fr_FR"/>
        </w:rPr>
        <w:t>Jg 4.1</w:t>
      </w:r>
      <w:r>
        <w:rPr>
          <w:lang w:val="fr_FR" w:bidi="fr_FR"/>
        </w:rPr>
        <w:t>) et ne vivant pas dans l'unité. Attristé de cela, le Seigneur livra Israël aux mains d'un oppresseur, Jabin, roi de Canaan. Dans leur détresse, les Israélites élevèrent à nouveau un cri vers le Seigneur, implorant son secours (</w:t>
      </w:r>
      <w:r>
        <w:rPr>
          <w:lang w:val="fr_FR" w:bidi="fr_FR"/>
        </w:rPr>
        <w:t>Jg 4.3</w:t>
      </w:r>
      <w:r>
        <w:rPr>
          <w:lang w:val="fr_FR" w:bidi="fr_FR"/>
        </w:rPr>
        <w:t>).</w:t>
      </w:r>
    </w:p>
    <w:p>
      <w:pPr/>
      <w:r>
        <w:rPr>
          <w:lang w:val="fr_FR" w:bidi="fr_FR"/>
        </w:rPr>
      </w:r>
      <w:r>
        <w:rPr>
          <w:lang w:val="fr_FR" w:bidi="fr_FR"/>
        </w:rPr>
        <w:t>Dieu appela alors Barak, par l'intermédiaire de Débora, pour mener la lutte contre Sisera, le redoutable commandant de l'armée de Jabin. Cependant, Barak, manquant de courage, insista pour que Débora l'accompagne. Débora accepta mais lui dit que la gloire de la victoire reviendrait à une femme, et non pas à lui. Cette prédiction se réalisa lorsque, malgré la victoire de Barak sur Sisera, c'est Jaël, la femme qui porta le coup de grâce en tuant Sisera, qui reçut tous les honneurs. Ce contraste saisissant révéla la force et les qualités de commandement de Débora et de Jaël, et la timidité de Barak. La manière d'agir de Débora permit à Israël de jouir de quarante années de paix (</w:t>
      </w:r>
      <w:r>
        <w:rPr>
          <w:lang w:val="fr_FR" w:bidi="fr_FR"/>
        </w:rPr>
        <w:t>Jg 5.31</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Jg 4.1–5.31</w:t>
      </w:r>
      <w:r>
        <w:rPr>
          <w:lang w:val="fr_FR" w:bidi="fr_FR"/>
        </w:rPr>
      </w:r>
      <w:r>
        <w:rPr>
          <w:lang w:val="fr_FR" w:bidi="fr_FR"/>
        </w:rPr>
      </w:r>
    </w:p>
    <w:p>
      <w:pPr/>
      <w:r>
        <w:rPr>
          <w:lang w:val="fr_FR" w:bidi="fr_FR"/>
        </w:rPr>
      </w:r>
    </w:p>
    <w:p>
      <w:pPr>
        <w:pStyle w:val="Heading2"/>
      </w:pPr>
      <w:r>
        <w:rPr>
          <w:lang w:val="fr_FR" w:bidi="fr_FR"/>
        </w:rPr>
        <w:t>Dirigeants juifs</w:t>
      </w:r>
      <w:r>
        <w:rPr>
          <w:lang w:val="fr_FR" w:bidi="fr_FR"/>
        </w:rPr>
      </w:r>
    </w:p>
    <w:p>
      <w:pPr/>
      <w:r>
        <w:rPr>
          <w:lang w:val="fr_FR" w:bidi="fr_FR"/>
        </w:rPr>
      </w:r>
      <w:r>
        <w:rPr>
          <w:lang w:val="fr_FR" w:bidi="fr_FR"/>
        </w:rPr>
        <w:t xml:space="preserve">Jésus était souvent en désaccord avec les dirigeants juifs pendant son ministère public. Ces dirigeants pensaient qu’ils protégeaient le temple, ses sacrifices, la synagogue et ses enseignements. Au cours de la dernière semaine de Jésus à Jérusalem, ces désaccords sont devenus plus intenses et ont contribué à monter le dossier contre lui (voir </w:t>
      </w:r>
      <w:r>
        <w:rPr>
          <w:lang w:val="fr_FR" w:bidi="fr_FR"/>
        </w:rPr>
        <w:t>Mt 23</w:t>
      </w:r>
      <w:r>
        <w:rPr>
          <w:lang w:val="fr_FR" w:bidi="fr_FR"/>
        </w:rPr>
        <w:t>).</w:t>
      </w:r>
    </w:p>
    <w:p>
      <w:pPr/>
      <w:r>
        <w:rPr>
          <w:lang w:val="fr_FR" w:bidi="fr_FR"/>
        </w:rPr>
      </w:r>
      <w:r>
        <w:rPr>
          <w:lang w:val="fr_FR" w:bidi="fr_FR"/>
        </w:rPr>
        <w:t xml:space="preserve">Lorsque Jean a écrit son Évangile, les synagogues juives locales attaquaient les disciples de Jésus dans leurs régions. Ce conflit a influencé l’écriture de Jean (voir </w:t>
      </w:r>
      <w:r>
        <w:rPr>
          <w:lang w:val="fr_FR" w:bidi="fr_FR"/>
        </w:rPr>
        <w:t>Ac 14.19</w:t>
      </w:r>
      <w:r>
        <w:rPr>
          <w:lang w:val="fr_FR" w:bidi="fr_FR"/>
        </w:rPr>
        <w:t xml:space="preserve"> ; </w:t>
      </w:r>
      <w:r>
        <w:rPr>
          <w:lang w:val="fr_FR" w:bidi="fr_FR"/>
        </w:rPr>
        <w:t>1Th 2.14</w:t>
      </w:r>
      <w:r>
        <w:rPr>
          <w:lang w:val="fr_FR" w:bidi="fr_FR"/>
        </w:rPr>
        <w:t xml:space="preserve"> ; comparer </w:t>
      </w:r>
      <w:r>
        <w:rPr>
          <w:lang w:val="fr_FR" w:bidi="fr_FR"/>
        </w:rPr>
        <w:t>Ga 1.13–14</w:t>
      </w:r>
      <w:r>
        <w:rPr>
          <w:lang w:val="fr_FR" w:bidi="fr_FR"/>
        </w:rPr>
        <w:t>).</w:t>
      </w:r>
    </w:p>
    <w:p>
      <w:pPr/>
      <w:r>
        <w:rPr>
          <w:lang w:val="fr_FR" w:bidi="fr_FR"/>
        </w:rPr>
      </w:r>
      <w:r>
        <w:rPr>
          <w:lang w:val="fr_FR" w:bidi="fr_FR"/>
        </w:rPr>
        <w:t xml:space="preserve">L’appellation grecque pour « dirigeants juifs » pouvait également signifier « Juifs ». Cependant, elle désignait surtout les dirigeants du temple qui s’opposaient à Jésus, le jugeaient et planifiaient sa mort sur la croix (voir </w:t>
      </w:r>
      <w:r>
        <w:rPr>
          <w:lang w:val="fr_FR" w:bidi="fr_FR"/>
        </w:rPr>
        <w:t>Jn 1.19</w:t>
      </w:r>
      <w:r>
        <w:rPr>
          <w:lang w:val="fr_FR" w:bidi="fr_FR"/>
        </w:rPr>
        <w:t xml:space="preserve"> ; </w:t>
      </w:r>
      <w:r>
        <w:rPr>
          <w:lang w:val="fr_FR" w:bidi="fr_FR"/>
        </w:rPr>
        <w:t>2.18</w:t>
      </w:r>
      <w:r>
        <w:rPr>
          <w:lang w:val="fr_FR" w:bidi="fr_FR"/>
        </w:rPr>
        <w:t xml:space="preserve"> ; </w:t>
      </w:r>
      <w:r>
        <w:rPr>
          <w:lang w:val="fr_FR" w:bidi="fr_FR"/>
        </w:rPr>
        <w:t>5.9–18</w:t>
      </w:r>
      <w:r>
        <w:rPr>
          <w:lang w:val="fr_FR" w:bidi="fr_FR"/>
        </w:rPr>
        <w:t xml:space="preserve"> ; </w:t>
      </w:r>
      <w:r>
        <w:rPr>
          <w:lang w:val="fr_FR" w:bidi="fr_FR"/>
        </w:rPr>
        <w:t>9.18–22</w:t>
      </w:r>
      <w:r>
        <w:rPr>
          <w:lang w:val="fr_FR" w:bidi="fr_FR"/>
        </w:rPr>
        <w:t>). Cette distinction est importante car certains considèrent le Nouveau Testament, en particulier l’Évangile de Jean, comme étant préjudiciable envers le peuple juif. Cependant, Jésus, qui était juif, ne s’opposait pas à tous les Juifs. Ses opposants étaient les « dirigeants juifs », les autorités religieuses dans la Jérusalem du premier siècle.</w:t>
      </w:r>
    </w:p>
    <w:p>
      <w:pPr/>
      <w:r>
        <w:rPr>
          <w:lang w:val="fr_FR" w:bidi="fr_FR"/>
        </w:rPr>
      </w:r>
      <w:r>
        <w:rPr>
          <w:u w:val="single"/>
          <w:lang w:val="fr_FR" w:bidi="fr_FR"/>
        </w:rPr>
        <w:t>Passages pour une étude approfondie</w:t>
      </w:r>
    </w:p>
    <w:p>
      <w:pPr/>
      <w:r>
        <w:rPr>
          <w:lang w:val="fr_FR" w:bidi="fr_FR"/>
        </w:rPr>
      </w:r>
      <w:r>
        <w:rPr>
          <w:lang w:val="fr_FR" w:bidi="fr_FR"/>
        </w:rPr>
        <w:t>Jn 1.19–24</w:t>
      </w:r>
      <w:r>
        <w:rPr>
          <w:lang w:val="fr_FR" w:bidi="fr_FR"/>
        </w:rPr>
        <w:t xml:space="preserve"> ; </w:t>
      </w:r>
      <w:r>
        <w:rPr>
          <w:lang w:val="fr_FR" w:bidi="fr_FR"/>
        </w:rPr>
        <w:t>2.18–20</w:t>
      </w:r>
      <w:r>
        <w:rPr>
          <w:lang w:val="fr_FR" w:bidi="fr_FR"/>
        </w:rPr>
        <w:t xml:space="preserve"> ; </w:t>
      </w:r>
      <w:r>
        <w:rPr>
          <w:lang w:val="fr_FR" w:bidi="fr_FR"/>
        </w:rPr>
        <w:t>5.9–18</w:t>
      </w:r>
      <w:r>
        <w:rPr>
          <w:lang w:val="fr_FR" w:bidi="fr_FR"/>
        </w:rPr>
        <w:t xml:space="preserve"> ; </w:t>
      </w:r>
      <w:r>
        <w:rPr>
          <w:lang w:val="fr_FR" w:bidi="fr_FR"/>
        </w:rPr>
        <w:t>7.1</w:t>
      </w:r>
      <w:r>
        <w:rPr>
          <w:lang w:val="fr_FR" w:bidi="fr_FR"/>
        </w:rPr>
        <w:t xml:space="preserve">, </w:t>
      </w:r>
      <w:r>
        <w:rPr>
          <w:lang w:val="fr_FR" w:bidi="fr_FR"/>
        </w:rPr>
        <w:t>10–13</w:t>
      </w:r>
      <w:r>
        <w:rPr>
          <w:lang w:val="fr_FR" w:bidi="fr_FR"/>
        </w:rPr>
        <w:t xml:space="preserve">, </w:t>
      </w:r>
      <w:r>
        <w:rPr>
          <w:lang w:val="fr_FR" w:bidi="fr_FR"/>
        </w:rPr>
        <w:t>35–36</w:t>
      </w:r>
      <w:r>
        <w:rPr>
          <w:lang w:val="fr_FR" w:bidi="fr_FR"/>
        </w:rPr>
        <w:t xml:space="preserve"> ; </w:t>
      </w:r>
      <w:r>
        <w:rPr>
          <w:lang w:val="fr_FR" w:bidi="fr_FR"/>
        </w:rPr>
        <w:t>9.13–34</w:t>
      </w:r>
      <w:r>
        <w:rPr>
          <w:lang w:val="fr_FR" w:bidi="fr_FR"/>
        </w:rPr>
        <w:t xml:space="preserve"> ; </w:t>
      </w:r>
      <w:r>
        <w:rPr>
          <w:lang w:val="fr_FR" w:bidi="fr_FR"/>
        </w:rPr>
        <w:t>11.45–54</w:t>
      </w:r>
      <w:r>
        <w:rPr>
          <w:lang w:val="fr_FR" w:bidi="fr_FR"/>
        </w:rPr>
        <w:t xml:space="preserve"> ; </w:t>
      </w:r>
      <w:r>
        <w:rPr>
          <w:lang w:val="fr_FR" w:bidi="fr_FR"/>
        </w:rPr>
        <w:t>12.41–43</w:t>
      </w:r>
      <w:r>
        <w:rPr>
          <w:lang w:val="fr_FR" w:bidi="fr_FR"/>
        </w:rPr>
        <w:t xml:space="preserve"> ; </w:t>
      </w:r>
      <w:r>
        <w:rPr>
          <w:lang w:val="fr_FR" w:bidi="fr_FR"/>
        </w:rPr>
        <w:t>18.28–36</w:t>
      </w:r>
      <w:r>
        <w:rPr>
          <w:lang w:val="fr_FR" w:bidi="fr_FR"/>
        </w:rPr>
        <w:t xml:space="preserve"> ; </w:t>
      </w:r>
      <w:r>
        <w:rPr>
          <w:lang w:val="fr_FR" w:bidi="fr_FR"/>
        </w:rPr>
        <w:t>19.6–8</w:t>
      </w:r>
      <w:r>
        <w:rPr>
          <w:lang w:val="fr_FR" w:bidi="fr_FR"/>
        </w:rPr>
        <w:t xml:space="preserve">, </w:t>
      </w:r>
      <w:r>
        <w:rPr>
          <w:lang w:val="fr_FR" w:bidi="fr_FR"/>
        </w:rPr>
        <w:t>12–16</w:t>
      </w:r>
      <w:r>
        <w:rPr>
          <w:lang w:val="fr_FR" w:bidi="fr_FR"/>
        </w:rPr>
        <w:t xml:space="preserve">, </w:t>
      </w:r>
      <w:r>
        <w:rPr>
          <w:lang w:val="fr_FR" w:bidi="fr_FR"/>
        </w:rPr>
        <w:t>31</w:t>
      </w:r>
      <w:r>
        <w:rPr>
          <w:lang w:val="fr_FR" w:bidi="fr_FR"/>
        </w:rPr>
        <w:t xml:space="preserve">, </w:t>
      </w:r>
      <w:r>
        <w:rPr>
          <w:lang w:val="fr_FR" w:bidi="fr_FR"/>
        </w:rPr>
        <w:t>38</w:t>
      </w:r>
      <w:r>
        <w:rPr>
          <w:lang w:val="fr_FR" w:bidi="fr_FR"/>
        </w:rPr>
        <w:t xml:space="preserve"> ; </w:t>
      </w:r>
      <w:r>
        <w:rPr>
          <w:lang w:val="fr_FR" w:bidi="fr_FR"/>
        </w:rPr>
        <w:t>20.19</w:t>
      </w:r>
      <w:r>
        <w:rPr>
          <w:lang w:val="fr_FR" w:bidi="fr_FR"/>
        </w:rPr>
        <w:t xml:space="preserve"> ; </w:t>
      </w:r>
      <w:r>
        <w:rPr>
          <w:lang w:val="fr_FR" w:bidi="fr_FR"/>
        </w:rPr>
        <w:t>Ac 6.10–12</w:t>
      </w:r>
      <w:r>
        <w:rPr>
          <w:lang w:val="fr_FR" w:bidi="fr_FR"/>
        </w:rPr>
        <w:t xml:space="preserve"> ; </w:t>
      </w:r>
      <w:r>
        <w:rPr>
          <w:lang w:val="fr_FR" w:bidi="fr_FR"/>
        </w:rPr>
        <w:t>7.54–58</w:t>
      </w:r>
      <w:r>
        <w:rPr>
          <w:lang w:val="fr_FR" w:bidi="fr_FR"/>
        </w:rPr>
        <w:t xml:space="preserve"> ; </w:t>
      </w:r>
      <w:r>
        <w:rPr>
          <w:lang w:val="fr_FR" w:bidi="fr_FR"/>
        </w:rPr>
        <w:t>12.11</w:t>
      </w:r>
      <w:r>
        <w:rPr>
          <w:lang w:val="fr_FR" w:bidi="fr_FR"/>
        </w:rPr>
        <w:t xml:space="preserve"> ; </w:t>
      </w:r>
      <w:r>
        <w:rPr>
          <w:lang w:val="fr_FR" w:bidi="fr_FR"/>
        </w:rPr>
        <w:t>21.11</w:t>
      </w:r>
      <w:r>
        <w:rPr>
          <w:lang w:val="fr_FR" w:bidi="fr_FR"/>
        </w:rPr>
        <w:t xml:space="preserve"> ; </w:t>
      </w:r>
      <w:r>
        <w:rPr>
          <w:lang w:val="fr_FR" w:bidi="fr_FR"/>
        </w:rPr>
        <w:t>25.1–3</w:t>
      </w:r>
      <w:r>
        <w:rPr>
          <w:lang w:val="fr_FR" w:bidi="fr_FR"/>
        </w:rPr>
        <w:t xml:space="preserve">, </w:t>
      </w:r>
      <w:r>
        <w:rPr>
          <w:lang w:val="fr_FR" w:bidi="fr_FR"/>
        </w:rPr>
        <w:t>7</w:t>
      </w:r>
      <w:r>
        <w:rPr>
          <w:lang w:val="fr_FR" w:bidi="fr_FR"/>
        </w:rPr>
        <w:t xml:space="preserve"> ; </w:t>
      </w:r>
      <w:r>
        <w:rPr>
          <w:lang w:val="fr_FR" w:bidi="fr_FR"/>
        </w:rPr>
        <w:t>26.1–11</w:t>
      </w:r>
      <w:r>
        <w:rPr>
          <w:lang w:val="fr_FR" w:bidi="fr_FR"/>
        </w:rPr>
        <w:t xml:space="preserve"> ; </w:t>
      </w:r>
      <w:r>
        <w:rPr>
          <w:lang w:val="fr_FR" w:bidi="fr_FR"/>
        </w:rPr>
        <w:t>28.17–24</w:t>
      </w:r>
      <w:r>
        <w:rPr>
          <w:lang w:val="fr_FR" w:bidi="fr_FR"/>
        </w:rPr>
        <w:t xml:space="preserve"> ; </w:t>
      </w:r>
      <w:r>
        <w:rPr>
          <w:lang w:val="fr_FR" w:bidi="fr_FR"/>
        </w:rPr>
        <w:t>2Co 11.24</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