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Isaac</w:t>
      </w:r>
      <w:r>
        <w:rPr>
          <w:lang w:val="fr_FR" w:bidi="fr_FR"/>
        </w:rPr>
      </w:r>
    </w:p>
    <w:p>
      <w:pPr/>
      <w:r>
        <w:rPr>
          <w:lang w:val="fr_FR" w:bidi="fr_FR"/>
        </w:rPr>
      </w:r>
      <w:r>
        <w:rPr>
          <w:lang w:val="fr_FR" w:bidi="fr_FR"/>
        </w:rPr>
        <w:t>Isaac, dont le nom signifie « il rit », reflète la réaction d'Abraham et de Sara à l’annonce de sa naissance. D’abord, ils rirent d’incrédulité lorsque Dieu leur fit cette promesse (</w:t>
      </w:r>
      <w:r>
        <w:rPr>
          <w:lang w:val="fr_FR" w:bidi="fr_FR"/>
        </w:rPr>
        <w:t>Gn 17.15–19</w:t>
      </w:r>
      <w:r>
        <w:rPr>
          <w:lang w:val="fr_FR" w:bidi="fr_FR"/>
        </w:rPr>
        <w:t xml:space="preserve"> ; </w:t>
      </w:r>
      <w:r>
        <w:rPr>
          <w:lang w:val="fr_FR" w:bidi="fr_FR"/>
        </w:rPr>
        <w:t>18.9–15</w:t>
      </w:r>
      <w:r>
        <w:rPr>
          <w:lang w:val="fr_FR" w:bidi="fr_FR"/>
        </w:rPr>
        <w:t>) puis, lorsque l’enfant vint au monde, leur rire devint une expression de joie (</w:t>
      </w:r>
      <w:r>
        <w:rPr>
          <w:lang w:val="fr_FR" w:bidi="fr_FR"/>
        </w:rPr>
        <w:t>Gn 21.6–7</w:t>
      </w:r>
      <w:r>
        <w:rPr>
          <w:lang w:val="fr_FR" w:bidi="fr_FR"/>
        </w:rPr>
        <w:t>). Dieu avait promis à Abraham un fils (</w:t>
      </w:r>
      <w:r>
        <w:rPr>
          <w:lang w:val="fr_FR" w:bidi="fr_FR"/>
        </w:rPr>
        <w:t>Gn 15.4–6</w:t>
      </w:r>
      <w:r>
        <w:rPr>
          <w:lang w:val="fr_FR" w:bidi="fr_FR"/>
        </w:rPr>
        <w:t xml:space="preserve">), et la promesse s'accomplit finalement malgré le grand âge de ce couple. </w:t>
      </w:r>
    </w:p>
    <w:p>
      <w:pPr/>
      <w:r>
        <w:rPr>
          <w:lang w:val="fr_FR" w:bidi="fr_FR"/>
        </w:rPr>
      </w:r>
      <w:r>
        <w:rPr>
          <w:lang w:val="fr_FR" w:bidi="fr_FR"/>
        </w:rPr>
        <w:t>Alors qu’il était encore jeune, Dieu mit Abraham à l’épreuve en lui demandant d’offrir Isaac en sacrifice (</w:t>
      </w:r>
      <w:r>
        <w:rPr>
          <w:lang w:val="fr_FR" w:bidi="fr_FR"/>
        </w:rPr>
        <w:t>Gn 22.1–19</w:t>
      </w:r>
      <w:r>
        <w:rPr>
          <w:lang w:val="fr_FR" w:bidi="fr_FR"/>
        </w:rPr>
        <w:t>). La foi d'Abraham resta forte et il obéit, et Isaac se soumit. Mais au dernier moment, alors qu'il allait lever la main pour tuer Isaac, Dieu intervint et pourvut un bélier en substitution. En raison de la foi d'Abraham, Dieu lui accorda de grandes bénédictions (</w:t>
      </w:r>
      <w:r>
        <w:rPr>
          <w:lang w:val="fr_FR" w:bidi="fr_FR"/>
        </w:rPr>
        <w:t>Gn 22.15–18</w:t>
      </w:r>
      <w:r>
        <w:rPr>
          <w:lang w:val="fr_FR" w:bidi="fr_FR"/>
        </w:rPr>
        <w:t>).</w:t>
      </w:r>
    </w:p>
    <w:p>
      <w:pPr/>
      <w:r>
        <w:rPr>
          <w:lang w:val="fr_FR" w:bidi="fr_FR"/>
        </w:rPr>
      </w:r>
      <w:r>
        <w:rPr>
          <w:lang w:val="fr_FR" w:bidi="fr_FR"/>
        </w:rPr>
        <w:t>Isaac épousa Rebecca et devait poursuivre la lignée promise, mais Rebecca était stérile (</w:t>
      </w:r>
      <w:r>
        <w:rPr>
          <w:lang w:val="fr_FR" w:bidi="fr_FR"/>
        </w:rPr>
        <w:t>Gn 25.21</w:t>
      </w:r>
      <w:r>
        <w:rPr>
          <w:lang w:val="fr_FR" w:bidi="fr_FR"/>
        </w:rPr>
        <w:t xml:space="preserve">). Plutôt que de tenter de résoudre ce problème par lui-même, comme son père l’avait fait (voir </w:t>
      </w:r>
      <w:r>
        <w:rPr>
          <w:lang w:val="fr_FR" w:bidi="fr_FR"/>
        </w:rPr>
        <w:t>Gn 16.1–16</w:t>
      </w:r>
      <w:r>
        <w:rPr>
          <w:lang w:val="fr_FR" w:bidi="fr_FR"/>
        </w:rPr>
        <w:t>), Isaac pria le Seigneur, et Rebecca donna naissance à des jumeaux. Cependant, des tensions familiales apparurent : Isaac préférait Ésaü, tandis que Rebecca favorisait Jacob. Ce favoritisme entraîna Jacob à tromper son père vieillissant et aveugle (</w:t>
      </w:r>
      <w:r>
        <w:rPr>
          <w:lang w:val="fr_FR" w:bidi="fr_FR"/>
        </w:rPr>
        <w:t>Gn 27.1–40</w:t>
      </w:r>
      <w:r>
        <w:rPr>
          <w:lang w:val="fr_FR" w:bidi="fr_FR"/>
        </w:rPr>
        <w:t xml:space="preserve">) et ce problème de favoritisme se transmit aux générations suivantes (voir </w:t>
      </w:r>
      <w:r>
        <w:rPr>
          <w:lang w:val="fr_FR" w:bidi="fr_FR"/>
        </w:rPr>
        <w:t>Gn 29.30</w:t>
      </w:r>
      <w:r>
        <w:rPr>
          <w:lang w:val="fr_FR" w:bidi="fr_FR"/>
        </w:rPr>
        <w:t xml:space="preserve"> ; </w:t>
      </w:r>
      <w:r>
        <w:rPr>
          <w:lang w:val="fr_FR" w:bidi="fr_FR"/>
        </w:rPr>
        <w:t>33.1–2</w:t>
      </w:r>
      <w:r>
        <w:rPr>
          <w:lang w:val="fr_FR" w:bidi="fr_FR"/>
        </w:rPr>
        <w:t xml:space="preserve"> ; </w:t>
      </w:r>
      <w:r>
        <w:rPr>
          <w:lang w:val="fr_FR" w:bidi="fr_FR"/>
        </w:rPr>
        <w:t>37.4</w:t>
      </w:r>
      <w:r>
        <w:rPr>
          <w:lang w:val="fr_FR" w:bidi="fr_FR"/>
        </w:rPr>
        <w:t>).</w:t>
      </w:r>
    </w:p>
    <w:p>
      <w:pPr/>
      <w:r>
        <w:rPr>
          <w:lang w:val="fr_FR" w:bidi="fr_FR"/>
        </w:rPr>
      </w:r>
      <w:r>
        <w:rPr>
          <w:lang w:val="fr_FR" w:bidi="fr_FR"/>
        </w:rPr>
        <w:t>À l’instar de son père Abraham, Isaac dut composer avec les peuples voisins. Lors d’une famine, il se rendit dans un autre royaume et, par crainte, présenta Rebecca comme sa sœur (</w:t>
      </w:r>
      <w:r>
        <w:rPr>
          <w:lang w:val="fr_FR" w:bidi="fr_FR"/>
        </w:rPr>
        <w:t>Gn 26.1–11</w:t>
      </w:r>
      <w:r>
        <w:rPr>
          <w:lang w:val="fr_FR" w:bidi="fr_FR"/>
        </w:rPr>
        <w:t xml:space="preserve"> ; comparer </w:t>
      </w:r>
      <w:r>
        <w:rPr>
          <w:lang w:val="fr_FR" w:bidi="fr_FR"/>
        </w:rPr>
        <w:t>12.10–20</w:t>
      </w:r>
      <w:r>
        <w:rPr>
          <w:lang w:val="fr_FR" w:bidi="fr_FR"/>
        </w:rPr>
        <w:t xml:space="preserve"> ; </w:t>
      </w:r>
      <w:r>
        <w:rPr>
          <w:lang w:val="fr_FR" w:bidi="fr_FR"/>
        </w:rPr>
        <w:t>20.1–18</w:t>
      </w:r>
      <w:r>
        <w:rPr>
          <w:lang w:val="fr_FR" w:bidi="fr_FR"/>
        </w:rPr>
        <w:t>). Comme son père, il prospéra dans cette région et fut prié de partir (</w:t>
      </w:r>
      <w:r>
        <w:rPr>
          <w:lang w:val="fr_FR" w:bidi="fr_FR"/>
        </w:rPr>
        <w:t>Gn 26.12–16</w:t>
      </w:r>
      <w:r>
        <w:rPr>
          <w:lang w:val="fr_FR" w:bidi="fr_FR"/>
        </w:rPr>
        <w:t xml:space="preserve"> ; comparer </w:t>
      </w:r>
      <w:r>
        <w:rPr>
          <w:lang w:val="fr_FR" w:bidi="fr_FR"/>
        </w:rPr>
        <w:t>12.16–20</w:t>
      </w:r>
      <w:r>
        <w:rPr>
          <w:lang w:val="fr_FR" w:bidi="fr_FR"/>
        </w:rPr>
        <w:t>). Il fut confronté à des querelles avec d'autres bergers au sujet des puits et des terres (</w:t>
      </w:r>
      <w:r>
        <w:rPr>
          <w:lang w:val="fr_FR" w:bidi="fr_FR"/>
        </w:rPr>
        <w:t>Gn 26.17–22</w:t>
      </w:r>
      <w:r>
        <w:rPr>
          <w:lang w:val="fr_FR" w:bidi="fr_FR"/>
        </w:rPr>
        <w:t xml:space="preserve"> ; comparer </w:t>
      </w:r>
      <w:r>
        <w:rPr>
          <w:lang w:val="fr_FR" w:bidi="fr_FR"/>
        </w:rPr>
        <w:t>21.25–31</w:t>
      </w:r>
      <w:r>
        <w:rPr>
          <w:lang w:val="fr_FR" w:bidi="fr_FR"/>
        </w:rPr>
        <w:t>), et finalement, il conclut un traité avec le roi des Philistins (</w:t>
      </w:r>
      <w:r>
        <w:rPr>
          <w:lang w:val="fr_FR" w:bidi="fr_FR"/>
        </w:rPr>
        <w:t>Gn 26.26–31</w:t>
      </w:r>
      <w:r>
        <w:rPr>
          <w:lang w:val="fr_FR" w:bidi="fr_FR"/>
        </w:rPr>
        <w:t xml:space="preserve"> ; comparer </w:t>
      </w:r>
      <w:r>
        <w:rPr>
          <w:lang w:val="fr_FR" w:bidi="fr_FR"/>
        </w:rPr>
        <w:t>21.22–32</w:t>
      </w:r>
      <w:r>
        <w:rPr>
          <w:lang w:val="fr_FR" w:bidi="fr_FR"/>
        </w:rPr>
        <w:t>).</w:t>
      </w:r>
    </w:p>
    <w:p>
      <w:pPr/>
      <w:r>
        <w:rPr>
          <w:lang w:val="fr_FR" w:bidi="fr_FR"/>
        </w:rPr>
      </w:r>
      <w:r>
        <w:rPr>
          <w:lang w:val="fr_FR" w:bidi="fr_FR"/>
        </w:rPr>
        <w:t>Dieu renouvela à Isaac la promesse faite à Abraham (</w:t>
      </w:r>
      <w:r>
        <w:rPr>
          <w:lang w:val="fr_FR" w:bidi="fr_FR"/>
        </w:rPr>
        <w:t>Gn 26.2–5</w:t>
      </w:r>
      <w:r>
        <w:rPr>
          <w:lang w:val="fr_FR" w:bidi="fr_FR"/>
        </w:rPr>
        <w:t xml:space="preserve">, </w:t>
      </w:r>
      <w:r>
        <w:rPr>
          <w:lang w:val="fr_FR" w:bidi="fr_FR"/>
        </w:rPr>
        <w:t>23–25</w:t>
      </w:r>
      <w:r>
        <w:rPr>
          <w:lang w:val="fr_FR" w:bidi="fr_FR"/>
        </w:rPr>
        <w:t xml:space="preserve"> ; comparer </w:t>
      </w:r>
      <w:r>
        <w:rPr>
          <w:lang w:val="fr_FR" w:bidi="fr_FR"/>
        </w:rPr>
        <w:t>22.16–18</w:t>
      </w:r>
      <w:r>
        <w:rPr>
          <w:lang w:val="fr_FR" w:bidi="fr_FR"/>
        </w:rPr>
        <w:t xml:space="preserve">). Il montra ensuite sa fidélité à l'alliance en perpétuant la pratique de la circoncision, qui symbolisait l'alliance (voir </w:t>
      </w:r>
      <w:r>
        <w:rPr>
          <w:lang w:val="fr_FR" w:bidi="fr_FR"/>
        </w:rPr>
        <w:t>Ac 7.8</w:t>
      </w:r>
      <w:r>
        <w:rPr>
          <w:lang w:val="fr_FR" w:bidi="fr_FR"/>
        </w:rPr>
        <w:t xml:space="preserve">). En tant qu'enfant de la promesse, Isaac représente tous ceux qui, par la foi en Christ, deviennent enfants d’Abraham. Il représente tous ceux qui quittent l'esclavage pour vivre dans la liberté des fils de Dieu (voir </w:t>
      </w:r>
      <w:r>
        <w:rPr>
          <w:lang w:val="fr_FR" w:bidi="fr_FR"/>
        </w:rPr>
        <w:t>Ga 4.21–5.1</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Gn 17.19–21</w:t>
      </w:r>
      <w:r>
        <w:rPr>
          <w:lang w:val="fr_FR" w:bidi="fr_FR"/>
        </w:rPr>
        <w:t xml:space="preserve"> ; </w:t>
      </w:r>
      <w:r>
        <w:rPr>
          <w:lang w:val="fr_FR" w:bidi="fr_FR"/>
        </w:rPr>
        <w:t>21.1–12</w:t>
      </w:r>
      <w:r>
        <w:rPr>
          <w:lang w:val="fr_FR" w:bidi="fr_FR"/>
        </w:rPr>
        <w:t xml:space="preserve"> ; </w:t>
      </w:r>
      <w:r>
        <w:rPr>
          <w:lang w:val="fr_FR" w:bidi="fr_FR"/>
        </w:rPr>
        <w:t>22.1–19</w:t>
      </w:r>
      <w:r>
        <w:rPr>
          <w:lang w:val="fr_FR" w:bidi="fr_FR"/>
        </w:rPr>
        <w:t xml:space="preserve"> ; </w:t>
      </w:r>
      <w:r>
        <w:rPr>
          <w:lang w:val="fr_FR" w:bidi="fr_FR"/>
        </w:rPr>
        <w:t>24.1–8</w:t>
      </w:r>
      <w:r>
        <w:rPr>
          <w:lang w:val="fr_FR" w:bidi="fr_FR"/>
        </w:rPr>
        <w:t xml:space="preserve">, </w:t>
      </w:r>
      <w:r>
        <w:rPr>
          <w:lang w:val="fr_FR" w:bidi="fr_FR"/>
        </w:rPr>
        <w:t>14</w:t>
      </w:r>
      <w:r>
        <w:rPr>
          <w:lang w:val="fr_FR" w:bidi="fr_FR"/>
        </w:rPr>
        <w:t xml:space="preserve">, </w:t>
      </w:r>
      <w:r>
        <w:rPr>
          <w:lang w:val="fr_FR" w:bidi="fr_FR"/>
        </w:rPr>
        <w:t>62–67</w:t>
      </w:r>
      <w:r>
        <w:rPr>
          <w:lang w:val="fr_FR" w:bidi="fr_FR"/>
        </w:rPr>
        <w:t xml:space="preserve"> ; </w:t>
      </w:r>
      <w:r>
        <w:rPr>
          <w:lang w:val="fr_FR" w:bidi="fr_FR"/>
        </w:rPr>
        <w:t>25.5–11</w:t>
      </w:r>
      <w:r>
        <w:rPr>
          <w:lang w:val="fr_FR" w:bidi="fr_FR"/>
        </w:rPr>
        <w:t xml:space="preserve">, </w:t>
      </w:r>
      <w:r>
        <w:rPr>
          <w:lang w:val="fr_FR" w:bidi="fr_FR"/>
        </w:rPr>
        <w:t>19–28</w:t>
      </w:r>
      <w:r>
        <w:rPr>
          <w:lang w:val="fr_FR" w:bidi="fr_FR"/>
        </w:rPr>
        <w:t xml:space="preserve"> ; </w:t>
      </w:r>
      <w:r>
        <w:rPr>
          <w:lang w:val="fr_FR" w:bidi="fr_FR"/>
        </w:rPr>
        <w:t>26.1–28.9</w:t>
      </w:r>
      <w:r>
        <w:rPr>
          <w:lang w:val="fr_FR" w:bidi="fr_FR"/>
        </w:rPr>
        <w:t xml:space="preserve"> ; </w:t>
      </w:r>
      <w:r>
        <w:rPr>
          <w:lang w:val="fr_FR" w:bidi="fr_FR"/>
        </w:rPr>
        <w:t>31.42</w:t>
      </w:r>
      <w:r>
        <w:rPr>
          <w:lang w:val="fr_FR" w:bidi="fr_FR"/>
        </w:rPr>
        <w:t xml:space="preserve"> ; </w:t>
      </w:r>
      <w:r>
        <w:rPr>
          <w:lang w:val="fr_FR" w:bidi="fr_FR"/>
        </w:rPr>
        <w:t>35.12</w:t>
      </w:r>
      <w:r>
        <w:rPr>
          <w:lang w:val="fr_FR" w:bidi="fr_FR"/>
        </w:rPr>
        <w:t xml:space="preserve">, </w:t>
      </w:r>
      <w:r>
        <w:rPr>
          <w:lang w:val="fr_FR" w:bidi="fr_FR"/>
        </w:rPr>
        <w:t>27–28</w:t>
      </w:r>
      <w:r>
        <w:rPr>
          <w:lang w:val="fr_FR" w:bidi="fr_FR"/>
        </w:rPr>
        <w:t xml:space="preserve"> ; </w:t>
      </w:r>
      <w:r>
        <w:rPr>
          <w:lang w:val="fr_FR" w:bidi="fr_FR"/>
        </w:rPr>
        <w:t>48.15–16</w:t>
      </w:r>
      <w:r>
        <w:rPr>
          <w:lang w:val="fr_FR" w:bidi="fr_FR"/>
        </w:rPr>
        <w:t xml:space="preserve"> ; </w:t>
      </w:r>
      <w:r>
        <w:rPr>
          <w:lang w:val="fr_FR" w:bidi="fr_FR"/>
        </w:rPr>
        <w:t>49.31</w:t>
      </w:r>
      <w:r>
        <w:rPr>
          <w:lang w:val="fr_FR" w:bidi="fr_FR"/>
        </w:rPr>
        <w:t xml:space="preserve"> ; </w:t>
      </w:r>
      <w:r>
        <w:rPr>
          <w:lang w:val="fr_FR" w:bidi="fr_FR"/>
        </w:rPr>
        <w:t>Ex 3.6</w:t>
      </w:r>
      <w:r>
        <w:rPr>
          <w:lang w:val="fr_FR" w:bidi="fr_FR"/>
        </w:rPr>
        <w:t xml:space="preserve"> ; </w:t>
      </w:r>
      <w:r>
        <w:rPr>
          <w:lang w:val="fr_FR" w:bidi="fr_FR"/>
        </w:rPr>
        <w:t>Jos 24.3–4</w:t>
      </w:r>
      <w:r>
        <w:rPr>
          <w:lang w:val="fr_FR" w:bidi="fr_FR"/>
        </w:rPr>
        <w:t xml:space="preserve"> ; </w:t>
      </w:r>
      <w:r>
        <w:rPr>
          <w:lang w:val="fr_FR" w:bidi="fr_FR"/>
        </w:rPr>
        <w:t>Rm 9.6–10</w:t>
      </w:r>
      <w:r>
        <w:rPr>
          <w:lang w:val="fr_FR" w:bidi="fr_FR"/>
        </w:rPr>
        <w:t xml:space="preserve"> ; </w:t>
      </w:r>
      <w:r>
        <w:rPr>
          <w:lang w:val="fr_FR" w:bidi="fr_FR"/>
        </w:rPr>
        <w:t>Ga 4.21–31</w:t>
      </w:r>
      <w:r>
        <w:rPr>
          <w:lang w:val="fr_FR" w:bidi="fr_FR"/>
        </w:rPr>
        <w:t xml:space="preserve"> ; </w:t>
      </w:r>
      <w:r>
        <w:rPr>
          <w:lang w:val="fr_FR" w:bidi="fr_FR"/>
        </w:rPr>
        <w:t>Hé 11.8–9</w:t>
      </w:r>
      <w:r>
        <w:rPr>
          <w:lang w:val="fr_FR" w:bidi="fr_FR"/>
        </w:rPr>
        <w:t xml:space="preserve">, </w:t>
      </w:r>
      <w:r>
        <w:rPr>
          <w:lang w:val="fr_FR" w:bidi="fr_FR"/>
        </w:rPr>
        <w:t>17–20</w:t>
      </w:r>
      <w:r>
        <w:rPr>
          <w:lang w:val="fr_FR" w:bidi="fr_FR"/>
        </w:rPr>
      </w:r>
      <w:r>
        <w:rPr>
          <w:lang w:val="fr_FR" w:bidi="fr_FR"/>
        </w:rPr>
      </w:r>
    </w:p>
    <w:p>
      <w:pPr/>
      <w:r>
        <w:rPr>
          <w:lang w:val="fr_FR" w:bidi="fr_FR"/>
        </w:rPr>
      </w:r>
    </w:p>
    <w:p>
      <w:pPr>
        <w:pStyle w:val="Heading2"/>
      </w:pPr>
      <w:r>
        <w:rPr>
          <w:lang w:val="fr_FR" w:bidi="fr_FR"/>
        </w:rPr>
        <w:t>Ismaël</w:t>
      </w:r>
      <w:r>
        <w:rPr>
          <w:lang w:val="fr_FR" w:bidi="fr_FR"/>
        </w:rPr>
      </w:r>
    </w:p>
    <w:p>
      <w:pPr/>
      <w:r>
        <w:rPr>
          <w:lang w:val="fr_FR" w:bidi="fr_FR"/>
        </w:rPr>
      </w:r>
      <w:r>
        <w:rPr>
          <w:lang w:val="fr_FR" w:bidi="fr_FR"/>
        </w:rPr>
        <w:t>Ismaël était le premier fils d'Abraham, né d'Agar, la servante égyptienne de Sara. Il vit le jour près d'Hébron alors qu'Abraham avait quatre-vingt-six ans (</w:t>
      </w:r>
      <w:r>
        <w:rPr>
          <w:lang w:val="fr_FR" w:bidi="fr_FR"/>
        </w:rPr>
        <w:t>Gn 13.18</w:t>
      </w:r>
      <w:r>
        <w:rPr>
          <w:lang w:val="fr_FR" w:bidi="fr_FR"/>
        </w:rPr>
        <w:t xml:space="preserve"> ; </w:t>
      </w:r>
      <w:r>
        <w:rPr>
          <w:lang w:val="fr_FR" w:bidi="fr_FR"/>
        </w:rPr>
        <w:t>16.16</w:t>
      </w:r>
      <w:r>
        <w:rPr>
          <w:lang w:val="fr_FR" w:bidi="fr_FR"/>
        </w:rPr>
        <w:t>). Dieu avait promis à Abraham, encore sans enfant, de faire de lui une grande nation (</w:t>
      </w:r>
      <w:r>
        <w:rPr>
          <w:lang w:val="fr_FR" w:bidi="fr_FR"/>
        </w:rPr>
        <w:t>Gn 12.2</w:t>
      </w:r>
      <w:r>
        <w:rPr>
          <w:lang w:val="fr_FR" w:bidi="fr_FR"/>
        </w:rPr>
        <w:t>), et lui avait assuré qu’il aurait un fils pour héritier (</w:t>
      </w:r>
      <w:r>
        <w:rPr>
          <w:lang w:val="fr_FR" w:bidi="fr_FR"/>
        </w:rPr>
        <w:t>15.4</w:t>
      </w:r>
      <w:r>
        <w:rPr>
          <w:lang w:val="fr_FR" w:bidi="fr_FR"/>
        </w:rPr>
        <w:t xml:space="preserve">). Cependant, Ismaël est né lorsque Abraham tenta d'accomplir cette promesse divine par des moyens humains (voir </w:t>
      </w:r>
      <w:r>
        <w:rPr>
          <w:lang w:val="fr_FR" w:bidi="fr_FR"/>
        </w:rPr>
        <w:t>Gn 16.1–16</w:t>
      </w:r>
      <w:r>
        <w:rPr>
          <w:lang w:val="fr_FR" w:bidi="fr_FR"/>
        </w:rPr>
        <w:t xml:space="preserve"> ; </w:t>
      </w:r>
      <w:r>
        <w:rPr>
          <w:lang w:val="fr_FR" w:bidi="fr_FR"/>
        </w:rPr>
        <w:t>Ga 4.23</w:t>
      </w:r>
      <w:r>
        <w:rPr>
          <w:lang w:val="fr_FR" w:bidi="fr_FR"/>
        </w:rPr>
        <w:t xml:space="preserve">). Pourtant, Dieu avait prévu de réaliser ses desseins par Sara (voir </w:t>
      </w:r>
      <w:r>
        <w:rPr>
          <w:lang w:val="fr_FR" w:bidi="fr_FR"/>
        </w:rPr>
        <w:t>Gn 17.15–18.15</w:t>
      </w:r>
      <w:r>
        <w:rPr>
          <w:lang w:val="fr_FR" w:bidi="fr_FR"/>
        </w:rPr>
        <w:t xml:space="preserve"> ; </w:t>
      </w:r>
      <w:r>
        <w:rPr>
          <w:lang w:val="fr_FR" w:bidi="fr_FR"/>
        </w:rPr>
        <w:t>21.1–7</w:t>
      </w:r>
      <w:r>
        <w:rPr>
          <w:lang w:val="fr_FR" w:bidi="fr_FR"/>
        </w:rPr>
        <w:t>).</w:t>
      </w:r>
    </w:p>
    <w:p>
      <w:pPr/>
      <w:r>
        <w:rPr>
          <w:lang w:val="fr_FR" w:bidi="fr_FR"/>
        </w:rPr>
      </w:r>
      <w:r>
        <w:rPr>
          <w:lang w:val="fr_FR" w:bidi="fr_FR"/>
        </w:rPr>
        <w:t>Dieu dit à Sara qu'elle donnerait naissance à un fils pour accomplir cette promesse (</w:t>
      </w:r>
      <w:r>
        <w:rPr>
          <w:lang w:val="fr_FR" w:bidi="fr_FR"/>
        </w:rPr>
        <w:t>Gn 17.15–16</w:t>
      </w:r>
      <w:r>
        <w:rPr>
          <w:lang w:val="fr_FR" w:bidi="fr_FR"/>
        </w:rPr>
        <w:t>). Abraham demanda alors à Dieu d’accepter Ismaël (</w:t>
      </w:r>
      <w:r>
        <w:rPr>
          <w:lang w:val="fr_FR" w:bidi="fr_FR"/>
        </w:rPr>
        <w:t>17.17–18</w:t>
      </w:r>
      <w:r>
        <w:rPr>
          <w:lang w:val="fr_FR" w:bidi="fr_FR"/>
        </w:rPr>
        <w:t>), mais celui-ci ne pouvait être l’héritier de l’alliance divine, car celle-ci passerait par Isaac (</w:t>
      </w:r>
      <w:r>
        <w:rPr>
          <w:lang w:val="fr_FR" w:bidi="fr_FR"/>
        </w:rPr>
        <w:t>Gn 17.19</w:t>
      </w:r>
      <w:r>
        <w:rPr>
          <w:lang w:val="fr_FR" w:bidi="fr_FR"/>
        </w:rPr>
        <w:t>). Toutefois, Dieu bénit Ismaël et fit de lui le père d’une grande nation (</w:t>
      </w:r>
      <w:r>
        <w:rPr>
          <w:lang w:val="fr_FR" w:bidi="fr_FR"/>
        </w:rPr>
        <w:t>Gn 17.20–21</w:t>
      </w:r>
      <w:r>
        <w:rPr>
          <w:lang w:val="fr_FR" w:bidi="fr_FR"/>
        </w:rPr>
        <w:t>).</w:t>
      </w:r>
    </w:p>
    <w:p>
      <w:pPr/>
      <w:r>
        <w:rPr>
          <w:lang w:val="fr_FR" w:bidi="fr_FR"/>
        </w:rPr>
      </w:r>
      <w:r>
        <w:rPr>
          <w:lang w:val="fr_FR" w:bidi="fr_FR"/>
        </w:rPr>
        <w:t>À l’âge de treize ans, Ismaël fut circoncis dans le cadre de l’alliance que Dieu avait conclue avec Abraham (</w:t>
      </w:r>
      <w:r>
        <w:rPr>
          <w:lang w:val="fr_FR" w:bidi="fr_FR"/>
        </w:rPr>
        <w:t>Gn 17.9–14</w:t>
      </w:r>
      <w:r>
        <w:rPr>
          <w:lang w:val="fr_FR" w:bidi="fr_FR"/>
        </w:rPr>
        <w:t xml:space="preserve">, </w:t>
      </w:r>
      <w:r>
        <w:rPr>
          <w:lang w:val="fr_FR" w:bidi="fr_FR"/>
        </w:rPr>
        <w:t>23–27</w:t>
      </w:r>
      <w:r>
        <w:rPr>
          <w:lang w:val="fr_FR" w:bidi="fr_FR"/>
        </w:rPr>
        <w:t>). Plus tard, lors de la célébration du sevrage d’Isaac, alors qu’il avait environ dix-sept ans, Ismaël se moqua de son frère (</w:t>
      </w:r>
      <w:r>
        <w:rPr>
          <w:lang w:val="fr_FR" w:bidi="fr_FR"/>
        </w:rPr>
        <w:t>Gn 21.9</w:t>
      </w:r>
      <w:r>
        <w:rPr>
          <w:lang w:val="fr_FR" w:bidi="fr_FR"/>
        </w:rPr>
        <w:t>). En conséquence, Abraham renvoya Ismaël et Agar avec des provisions. Un ange de Dieu vint en aide à Agar dans le désert, et Ismaël devint un chasseur. Il s’établit dans le désert de Paran et épousa une Égyptienne (</w:t>
      </w:r>
      <w:r>
        <w:rPr>
          <w:lang w:val="fr_FR" w:bidi="fr_FR"/>
        </w:rPr>
        <w:t>Gn 21.20–21</w:t>
      </w:r>
      <w:r>
        <w:rPr>
          <w:lang w:val="fr_FR" w:bidi="fr_FR"/>
        </w:rPr>
        <w:t>). Plus tard, il participa à l’enterrement d’Abraham (</w:t>
      </w:r>
      <w:r>
        <w:rPr>
          <w:lang w:val="fr_FR" w:bidi="fr_FR"/>
        </w:rPr>
        <w:t>Gn 25.9–10</w:t>
      </w:r>
      <w:r>
        <w:rPr>
          <w:lang w:val="fr_FR" w:bidi="fr_FR"/>
        </w:rPr>
        <w:t>), et donna sa fille Mahalath en mariage à Ésaü (</w:t>
      </w:r>
      <w:r>
        <w:rPr>
          <w:lang w:val="fr_FR" w:bidi="fr_FR"/>
        </w:rPr>
        <w:t>28.9</w:t>
      </w:r>
      <w:r>
        <w:rPr>
          <w:lang w:val="fr_FR" w:bidi="fr_FR"/>
        </w:rPr>
        <w:t>). Ismaël mourut à l'âge de 137 ans (</w:t>
      </w:r>
      <w:r>
        <w:rPr>
          <w:lang w:val="fr_FR" w:bidi="fr_FR"/>
        </w:rPr>
        <w:t>25.17</w:t>
      </w:r>
      <w:r>
        <w:rPr>
          <w:lang w:val="fr_FR" w:bidi="fr_FR"/>
        </w:rPr>
        <w:t xml:space="preserve">), et ses douze fils sont mentionnés dans </w:t>
      </w:r>
      <w:r>
        <w:rPr>
          <w:lang w:val="fr_FR" w:bidi="fr_FR"/>
        </w:rPr>
        <w:t>Gn 25.13–15</w:t>
      </w:r>
      <w:r>
        <w:rPr>
          <w:lang w:val="fr_FR" w:bidi="fr_FR"/>
        </w:rPr>
        <w:t>.</w:t>
      </w:r>
    </w:p>
    <w:p>
      <w:pPr/>
      <w:r>
        <w:rPr>
          <w:lang w:val="fr_FR" w:bidi="fr_FR"/>
        </w:rPr>
      </w:r>
      <w:r>
        <w:rPr>
          <w:lang w:val="fr_FR" w:bidi="fr_FR"/>
        </w:rPr>
        <w:t xml:space="preserve">L’apôtre Paul évoqua Ismaël pour encourager les Galates à mettre leur confiance en Dieu plutôt qu’en la loi (voir </w:t>
      </w:r>
      <w:r>
        <w:rPr>
          <w:lang w:val="fr_FR" w:bidi="fr_FR"/>
        </w:rPr>
        <w:t>Ga 4.21–31</w:t>
      </w:r>
      <w:r>
        <w:rPr>
          <w:lang w:val="fr_FR" w:bidi="fr_FR"/>
        </w:rPr>
        <w:t>). Il expliqua que ceux qui s’appuient sur la loi n’hériteront pas du royaume, tout comme le fils de la servante n’a pas hérité avec le fils de la femme libre (</w:t>
      </w:r>
      <w:r>
        <w:rPr>
          <w:lang w:val="fr_FR" w:bidi="fr_FR"/>
        </w:rPr>
        <w:t>Ga 4.30</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Gn 16.11–16</w:t>
      </w:r>
      <w:r>
        <w:rPr>
          <w:lang w:val="fr_FR" w:bidi="fr_FR"/>
        </w:rPr>
        <w:t xml:space="preserve"> ; </w:t>
      </w:r>
      <w:r>
        <w:rPr>
          <w:lang w:val="fr_FR" w:bidi="fr_FR"/>
        </w:rPr>
        <w:t>Gn 17.18–26</w:t>
      </w:r>
      <w:r>
        <w:rPr>
          <w:lang w:val="fr_FR" w:bidi="fr_FR"/>
        </w:rPr>
        <w:t xml:space="preserve"> ; </w:t>
      </w:r>
      <w:r>
        <w:rPr>
          <w:lang w:val="fr_FR" w:bidi="fr_FR"/>
        </w:rPr>
        <w:t>21.8–21</w:t>
      </w:r>
      <w:r>
        <w:rPr>
          <w:lang w:val="fr_FR" w:bidi="fr_FR"/>
        </w:rPr>
        <w:t xml:space="preserve"> ; </w:t>
      </w:r>
      <w:r>
        <w:rPr>
          <w:lang w:val="fr_FR" w:bidi="fr_FR"/>
        </w:rPr>
        <w:t>25.9–18</w:t>
      </w:r>
      <w:r>
        <w:rPr>
          <w:lang w:val="fr_FR" w:bidi="fr_FR"/>
        </w:rPr>
        <w:t xml:space="preserve"> ; </w:t>
      </w:r>
      <w:r>
        <w:rPr>
          <w:lang w:val="fr_FR" w:bidi="fr_FR"/>
        </w:rPr>
        <w:t>28.9</w:t>
      </w:r>
      <w:r>
        <w:rPr>
          <w:lang w:val="fr_FR" w:bidi="fr_FR"/>
        </w:rPr>
        <w:t xml:space="preserve"> ; </w:t>
      </w:r>
      <w:r>
        <w:rPr>
          <w:lang w:val="fr_FR" w:bidi="fr_FR"/>
        </w:rPr>
        <w:t>Ga 4.21–31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