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(Profiles)</w:t>
      </w:r>
      <w:r>
        <w:rPr>
          <w:lang w:val="fr_FR" w:bidi="fr_FR"/>
        </w:rPr>
      </w:r>
    </w:p>
    <w:p>
      <w:pPr/>
      <w:r>
        <w:rPr>
          <w:lang w:val="fr_FR" w:bidi="fr_FR"/>
        </w:rPr>
      </w:r>
      <w:r>
        <w:rPr>
          <w:b/>
          <w:lang w:val="fr_FR" w:bidi="fr_FR"/>
        </w:rPr>
        <w:t>Aquifer Open Study Notes (Profiles)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Z</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Zorobabel</w:t>
      </w:r>
      <w:r>
        <w:rPr>
          <w:lang w:val="fr_FR" w:bidi="fr_FR"/>
        </w:rPr>
      </w:r>
    </w:p>
    <w:p>
      <w:pPr/>
      <w:r>
        <w:rPr>
          <w:lang w:val="fr_FR" w:bidi="fr_FR"/>
        </w:rPr>
      </w:r>
      <w:r>
        <w:rPr>
          <w:lang w:val="fr_FR" w:bidi="fr_FR"/>
        </w:rPr>
        <w:t>Juif né à Babylone, Zorobabel retourna en Judée en 538 av. J.-C. en tant que gouverneur de Jérusalem sous domination perse. Cyrus, roi de Perse, avait accordé aux Juifs capturés et exilés de Juda la permission de rentrer chez eux, et Zorobabel fut à la tête de l'un des premiers groupes de retour.</w:t>
      </w:r>
    </w:p>
    <w:p>
      <w:pPr/>
      <w:r>
        <w:rPr>
          <w:lang w:val="fr_FR" w:bidi="fr_FR"/>
        </w:rPr>
      </w:r>
      <w:r>
        <w:rPr>
          <w:lang w:val="fr_FR" w:bidi="fr_FR"/>
        </w:rPr>
        <w:t>Arrivé en Judée, Zorobabel entreprit la reconstruction du temple, commençant par l'autel, afin que les sacrifices puissent reprendre dès que le lieu saint fut prêt. Cependant, l'opposition locale interrompit la construction, et les Judéens perdirent de vue leur objectif jusqu'à ce que la prédication d'Aggée et de Zacharie les encourage à reprendre le chantier. Zorobabel joua un rôle central dans la direction et l'organisation de cette reconstruction, qui dura environ six ans, de 520 à 515 av. J.-C.</w:t>
      </w:r>
    </w:p>
    <w:p>
      <w:pPr/>
      <w:r>
        <w:rPr>
          <w:lang w:val="fr_FR" w:bidi="fr_FR"/>
        </w:rPr>
      </w:r>
      <w:r>
        <w:rPr>
          <w:lang w:val="fr_FR" w:bidi="fr_FR"/>
        </w:rPr>
        <w:t>Beaucoup attendaient de grandes choses de Zorobabel, puisqu'il était issu de la famille du roi David (</w:t>
      </w:r>
      <w:r>
        <w:rPr>
          <w:lang w:val="fr_FR" w:bidi="fr_FR"/>
        </w:rPr>
        <w:t>1Ch 3.1–19</w:t>
      </w:r>
      <w:r>
        <w:rPr>
          <w:lang w:val="fr_FR" w:bidi="fr_FR"/>
        </w:rPr>
        <w:t>). Aggée et Zacharie le décrivirent avec des termes messianiques, le présentant comme celui choisi par Dieu pour restaurer Israël (</w:t>
      </w:r>
      <w:r>
        <w:rPr>
          <w:lang w:val="fr_FR" w:bidi="fr_FR"/>
        </w:rPr>
        <w:t>Ag 2.21–23</w:t>
      </w:r>
      <w:r>
        <w:rPr>
          <w:lang w:val="fr_FR" w:bidi="fr_FR"/>
        </w:rPr>
        <w:t xml:space="preserve"> ; </w:t>
      </w:r>
      <w:r>
        <w:rPr>
          <w:lang w:val="fr_FR" w:bidi="fr_FR"/>
        </w:rPr>
        <w:t>Za 4.6–7</w:t>
      </w:r>
      <w:r>
        <w:rPr>
          <w:lang w:val="fr_FR" w:bidi="fr_FR"/>
        </w:rPr>
        <w:t>). Toutefois, Zorobabel finit par disparaître de l'histoire biblique sans explication, et il apparut clairement que ce premier gouverneur de Judée n'était pas le Messie. Ce rôle glorieux serait ultérieurement rempli par Jésus-Christ, l'un des descendants de Zorobabel (</w:t>
      </w:r>
      <w:r>
        <w:rPr>
          <w:lang w:val="fr_FR" w:bidi="fr_FR"/>
        </w:rPr>
        <w:t>Mt 1.12</w:t>
      </w:r>
      <w:r>
        <w:rPr>
          <w:lang w:val="fr_FR" w:bidi="fr_FR"/>
        </w:rPr>
        <w:t>).</w:t>
      </w:r>
    </w:p>
    <w:p>
      <w:pPr/>
      <w:r>
        <w:rPr>
          <w:lang w:val="fr_FR" w:bidi="fr_FR"/>
        </w:rPr>
      </w:r>
      <w:r>
        <w:rPr>
          <w:u w:val="single"/>
          <w:lang w:val="fr_FR" w:bidi="fr_FR"/>
        </w:rPr>
        <w:t>Passages pour une étude approfondie</w:t>
      </w:r>
    </w:p>
    <w:p>
      <w:pPr/>
      <w:r>
        <w:rPr>
          <w:lang w:val="fr_FR" w:bidi="fr_FR"/>
        </w:rPr>
      </w:r>
      <w:r>
        <w:rPr>
          <w:lang w:val="fr_FR" w:bidi="fr_FR"/>
        </w:rPr>
        <w:t>Esd 2.1–6.22</w:t>
      </w:r>
      <w:r>
        <w:rPr>
          <w:lang w:val="fr_FR" w:bidi="fr_FR"/>
        </w:rPr>
        <w:t xml:space="preserve"> ; </w:t>
      </w:r>
      <w:r>
        <w:rPr>
          <w:lang w:val="fr_FR" w:bidi="fr_FR"/>
        </w:rPr>
        <w:t>Né 7.7</w:t>
      </w:r>
      <w:r>
        <w:rPr>
          <w:lang w:val="fr_FR" w:bidi="fr_FR"/>
        </w:rPr>
        <w:t xml:space="preserve"> ; </w:t>
      </w:r>
      <w:r>
        <w:rPr>
          <w:lang w:val="fr_FR" w:bidi="fr_FR"/>
        </w:rPr>
        <w:t>Ag 1.12–2.23</w:t>
      </w:r>
      <w:r>
        <w:rPr>
          <w:lang w:val="fr_FR" w:bidi="fr_FR"/>
        </w:rPr>
        <w:t xml:space="preserve"> ; </w:t>
      </w:r>
      <w:r>
        <w:rPr>
          <w:lang w:val="fr_FR" w:bidi="fr_FR"/>
        </w:rPr>
        <w:t>Za 4.1–14</w:t>
      </w:r>
      <w:r>
        <w:rPr>
          <w:lang w:val="fr_FR" w:bidi="fr_FR"/>
        </w:rPr>
        <w:t xml:space="preserve"> ; </w:t>
      </w:r>
      <w:r>
        <w:rPr>
          <w:lang w:val="fr_FR" w:bidi="fr_FR"/>
        </w:rPr>
        <w:t>Mt 1.12</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