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(Profiles)</w:t>
      </w:r>
      <w:r>
        <w:rPr>
          <w:lang w:val="id_ID" w:bidi="id_ID"/>
        </w:rPr>
      </w:r>
    </w:p>
    <w:p>
      <w:pPr/>
      <w:r>
        <w:rPr>
          <w:lang w:val="id_ID" w:bidi="id_ID"/>
        </w:rPr>
      </w:r>
      <w:r>
        <w:rPr>
          <w:b/>
          <w:lang w:val="id_ID" w:bidi="id_ID"/>
        </w:rPr>
        <w:t>Aquifer Open Study Notes (Profiles)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Lea</w:t>
      </w:r>
      <w:r>
        <w:rPr>
          <w:lang w:val="id_ID" w:bidi="id_ID"/>
        </w:rPr>
      </w:r>
    </w:p>
    <w:p>
      <w:pPr/>
      <w:r>
        <w:rPr>
          <w:lang w:val="id_ID" w:bidi="id_ID"/>
        </w:rPr>
      </w:r>
      <w:r>
        <w:rPr>
          <w:lang w:val="id_ID" w:bidi="id_ID"/>
        </w:rPr>
        <w:t>Lea adalah putri sulung Laban, istri pertama Yakub yang tidak dicintainya, serta kakak dari Rahel.</w:t>
      </w:r>
    </w:p>
    <w:p>
      <w:pPr/>
      <w:r>
        <w:rPr>
          <w:lang w:val="id_ID" w:bidi="id_ID"/>
        </w:rPr>
      </w:r>
      <w:r>
        <w:rPr>
          <w:lang w:val="id_ID" w:bidi="id_ID"/>
        </w:rPr>
        <w:t>Yakub menipu bapanya, Ishak, untuk mendapatkan berkat yang seharusnya diberikan kepada Esau (</w:t>
      </w:r>
      <w:r>
        <w:rPr>
          <w:lang w:val="id_ID" w:bidi="id_ID"/>
        </w:rPr>
        <w:t>Kejadian 27:1–40</w:t>
      </w:r>
      <w:r>
        <w:rPr>
          <w:lang w:val="id_ID" w:bidi="id_ID"/>
        </w:rPr>
        <w:t>). Kemudian, dia pergi kepada pamannya, Laban, di Mesopotamia untuk menghindari kemarahan Esau dan mencari seorang istri (</w:t>
      </w:r>
      <w:r>
        <w:rPr>
          <w:lang w:val="id_ID" w:bidi="id_ID"/>
        </w:rPr>
        <w:t>Kejadian 27:41–28:5</w:t>
      </w:r>
      <w:r>
        <w:rPr>
          <w:lang w:val="id_ID" w:bidi="id_ID"/>
        </w:rPr>
        <w:t>). Yakub jatuh cinta pada sepupunya Rahel dan setuju dengan ayahnya untuk menikahinya setelah bekerja selama tujuh tahun (</w:t>
      </w:r>
      <w:r>
        <w:rPr>
          <w:lang w:val="id_ID" w:bidi="id_ID"/>
        </w:rPr>
        <w:t>Kejadian 29:17–20</w:t>
      </w:r>
      <w:r>
        <w:rPr>
          <w:lang w:val="id_ID" w:bidi="id_ID"/>
        </w:rPr>
        <w:t>). Namun, selama pesta pernikahan, Laban menipu Yakub dengan memberikan Lea, bukan Rahel (</w:t>
      </w:r>
      <w:r>
        <w:rPr>
          <w:lang w:val="id_ID" w:bidi="id_ID"/>
        </w:rPr>
        <w:t>Kejadian 29:21–25</w:t>
      </w:r>
      <w:r>
        <w:rPr>
          <w:lang w:val="id_ID" w:bidi="id_ID"/>
        </w:rPr>
        <w:t>). Laban menjelaskan bahwa adat istiadat mengharuskan putri yang lebih tua menikah terlebih dahulu (</w:t>
      </w:r>
      <w:r>
        <w:rPr>
          <w:lang w:val="id_ID" w:bidi="id_ID"/>
        </w:rPr>
        <w:t>Kejadian 29:26</w:t>
      </w:r>
      <w:r>
        <w:rPr>
          <w:lang w:val="id_ID" w:bidi="id_ID"/>
        </w:rPr>
        <w:t>). Lea dianggap kurang menarik dibandingkan saudarinya (</w:t>
      </w:r>
      <w:r>
        <w:rPr>
          <w:lang w:val="id_ID" w:bidi="id_ID"/>
        </w:rPr>
        <w:t>Kejadian 29:17</w:t>
      </w:r>
      <w:r>
        <w:rPr>
          <w:lang w:val="id_ID" w:bidi="id_ID"/>
        </w:rPr>
        <w:t>). Yakub tidak mencintainya (</w:t>
      </w:r>
      <w:r>
        <w:rPr>
          <w:lang w:val="id_ID" w:bidi="id_ID"/>
        </w:rPr>
        <w:t>Kejadian 29:30–35</w:t>
      </w:r>
      <w:r>
        <w:rPr>
          <w:lang w:val="id_ID" w:bidi="id_ID"/>
        </w:rPr>
        <w:t>).</w:t>
      </w:r>
    </w:p>
    <w:p>
      <w:pPr/>
      <w:r>
        <w:rPr>
          <w:lang w:val="id_ID" w:bidi="id_ID"/>
        </w:rPr>
      </w:r>
      <w:r>
        <w:rPr>
          <w:lang w:val="id_ID" w:bidi="id_ID"/>
        </w:rPr>
        <w:t>Yakub sangat mencintai Rahel sehingga dia bekerja tujuh tahun lagi untuk menikahinya. Karena Yakub lebih menyukai Rahel, Tuhan memberkati Lea dengan enam orang anak laki-laki dan seorang anak perempuan sebelum Rahel bisa memiliki anak (</w:t>
      </w:r>
      <w:r>
        <w:rPr>
          <w:lang w:val="id_ID" w:bidi="id_ID"/>
        </w:rPr>
        <w:t>Kejadian 29:31–30:22</w:t>
      </w:r>
      <w:r>
        <w:rPr>
          <w:lang w:val="id_ID" w:bidi="id_ID"/>
        </w:rPr>
        <w:t>):</w:t>
      </w:r>
    </w:p>
    <w:p>
      <w:pPr>
        <w:pStyle w:val="ListNumber"/>
        <w:numPr>
          <w:ilvl w:val="0"/>
          <w:numId w:val="14"/>
        </w:numPr>
        <w:spacing w:line="240" w:lineRule="auto"/>
        <w:ind w:left="720"/>
      </w:pPr>
      <w:r>
        <w:rPr>
          <w:lang w:val="id_ID" w:bidi="id_ID"/>
        </w:rPr>
      </w:r>
      <w:r>
        <w:rPr>
          <w:lang w:val="id_ID" w:bidi="id_ID"/>
        </w:rPr>
        <w:t>Ruben</w:t>
      </w:r>
    </w:p>
    <w:p>
      <w:pPr>
        <w:pStyle w:val="ListNumber"/>
        <w:spacing w:line="240" w:lineRule="auto"/>
        <w:ind w:left="720"/>
      </w:pPr>
      <w:r>
        <w:rPr>
          <w:lang w:val="id_ID" w:bidi="id_ID"/>
        </w:rPr>
      </w:r>
      <w:r>
        <w:rPr>
          <w:lang w:val="id_ID" w:bidi="id_ID"/>
        </w:rPr>
        <w:t>Simeon</w:t>
      </w:r>
    </w:p>
    <w:p>
      <w:pPr>
        <w:pStyle w:val="ListNumber"/>
        <w:spacing w:line="240" w:lineRule="auto"/>
        <w:ind w:left="720"/>
      </w:pPr>
      <w:r>
        <w:rPr>
          <w:lang w:val="id_ID" w:bidi="id_ID"/>
        </w:rPr>
      </w:r>
      <w:r>
        <w:rPr>
          <w:lang w:val="id_ID" w:bidi="id_ID"/>
        </w:rPr>
        <w:t>Lewi</w:t>
      </w:r>
    </w:p>
    <w:p>
      <w:pPr>
        <w:pStyle w:val="ListNumber"/>
        <w:spacing w:line="240" w:lineRule="auto"/>
        <w:ind w:left="720"/>
      </w:pPr>
      <w:r>
        <w:rPr>
          <w:lang w:val="id_ID" w:bidi="id_ID"/>
        </w:rPr>
      </w:r>
      <w:r>
        <w:rPr>
          <w:lang w:val="id_ID" w:bidi="id_ID"/>
        </w:rPr>
        <w:t>Yehuda</w:t>
      </w:r>
    </w:p>
    <w:p>
      <w:pPr>
        <w:pStyle w:val="ListNumber"/>
        <w:spacing w:line="240" w:lineRule="auto"/>
        <w:ind w:left="720"/>
      </w:pPr>
      <w:r>
        <w:rPr>
          <w:lang w:val="id_ID" w:bidi="id_ID"/>
        </w:rPr>
      </w:r>
      <w:r>
        <w:rPr>
          <w:lang w:val="id_ID" w:bidi="id_ID"/>
        </w:rPr>
        <w:t>Isakhar</w:t>
      </w:r>
    </w:p>
    <w:p>
      <w:pPr>
        <w:pStyle w:val="ListNumber"/>
        <w:spacing w:line="240" w:lineRule="auto"/>
        <w:ind w:left="720"/>
      </w:pPr>
      <w:r>
        <w:rPr>
          <w:lang w:val="id_ID" w:bidi="id_ID"/>
        </w:rPr>
      </w:r>
      <w:r>
        <w:rPr>
          <w:lang w:val="id_ID" w:bidi="id_ID"/>
        </w:rPr>
        <w:t>Zebulon</w:t>
      </w:r>
    </w:p>
    <w:p>
      <w:pPr>
        <w:pStyle w:val="ListNumber"/>
        <w:spacing w:line="240" w:lineRule="auto"/>
        <w:ind w:left="720"/>
      </w:pPr>
      <w:r>
        <w:rPr>
          <w:lang w:val="id_ID" w:bidi="id_ID"/>
        </w:rPr>
      </w:r>
      <w:r>
        <w:rPr>
          <w:lang w:val="id_ID" w:bidi="id_ID"/>
        </w:rPr>
        <w:t>Dina</w:t>
      </w:r>
    </w:p>
    <w:p>
      <w:pPr/>
      <w:r>
        <w:rPr>
          <w:lang w:val="id_ID" w:bidi="id_ID"/>
        </w:rPr>
      </w:r>
      <w:r>
        <w:rPr>
          <w:lang w:val="id_ID" w:bidi="id_ID"/>
        </w:rPr>
        <w:t>Pada suatu ketika, Rahel menukar beberapa buah dudaim dengan Lea sebagai imbalan waktu bersama Yakub. Orang-orang percaya bahwa buah dudaim dapat membantu wanita untuk hamil. Setelah semalam bersama Yakub, Lea pun hamil dan melahirkan anak kelimanya (</w:t>
      </w:r>
      <w:r>
        <w:rPr>
          <w:lang w:val="id_ID" w:bidi="id_ID"/>
        </w:rPr>
        <w:t>Kejadian 30:14–17</w:t>
      </w:r>
      <w:r>
        <w:rPr>
          <w:lang w:val="id_ID" w:bidi="id_ID"/>
        </w:rPr>
        <w:t>). Hal ini meningkatkan keunggulannya dalam persaingannya dengan Rahel.</w:t>
      </w:r>
    </w:p>
    <w:p>
      <w:pPr/>
      <w:r>
        <w:rPr>
          <w:lang w:val="id_ID" w:bidi="id_ID"/>
        </w:rPr>
      </w:r>
      <w:r>
        <w:rPr>
          <w:lang w:val="id_ID" w:bidi="id_ID"/>
        </w:rPr>
        <w:t>Lea adalah ibu dari dua suku penting dalam sejarah Israel. Suku Lewi merupakan suku para imam. Suku Yehuda menjadi suku kerajaan, yang mengarah kepada Yesus Kristus, keturunan yang dijanjikan (</w:t>
      </w:r>
      <w:r>
        <w:rPr>
          <w:lang w:val="id_ID" w:bidi="id_ID"/>
        </w:rPr>
        <w:t>Kejadian 3:15</w:t>
      </w:r>
      <w:r>
        <w:rPr>
          <w:lang w:val="id_ID" w:bidi="id_ID"/>
        </w:rPr>
        <w:t xml:space="preserve">; </w:t>
      </w:r>
      <w:r>
        <w:rPr>
          <w:lang w:val="id_ID" w:bidi="id_ID"/>
        </w:rPr>
        <w:t>12:2–3</w:t>
      </w:r>
      <w:r>
        <w:rPr>
          <w:lang w:val="id_ID" w:bidi="id_ID"/>
        </w:rPr>
        <w:t xml:space="preserve">; </w:t>
      </w:r>
      <w:r>
        <w:rPr>
          <w:lang w:val="id_ID" w:bidi="id_ID"/>
        </w:rPr>
        <w:t>2 Samuel 7:16</w:t>
      </w:r>
      <w:r>
        <w:rPr>
          <w:lang w:val="id_ID" w:bidi="id_ID"/>
        </w:rPr>
        <w:t xml:space="preserve">; </w:t>
      </w:r>
      <w:r>
        <w:rPr>
          <w:lang w:val="id_ID" w:bidi="id_ID"/>
        </w:rPr>
        <w:t>Matius 1:1</w:t>
      </w:r>
      <w:r>
        <w:rPr>
          <w:lang w:val="id_ID" w:bidi="id_ID"/>
        </w:rPr>
        <w:t>).</w:t>
      </w:r>
    </w:p>
    <w:p>
      <w:pPr/>
      <w:r>
        <w:rPr>
          <w:lang w:val="id_ID" w:bidi="id_ID"/>
        </w:rPr>
      </w:r>
      <w:r>
        <w:rPr>
          <w:u w:val="single"/>
          <w:lang w:val="id_ID" w:bidi="id_ID"/>
        </w:rPr>
        <w:t>Ayat-ayat untuk Pembelajaran Lebih Lanjut</w:t>
      </w:r>
    </w:p>
    <w:p>
      <w:pPr/>
      <w:r>
        <w:rPr>
          <w:lang w:val="id_ID" w:bidi="id_ID"/>
        </w:rPr>
      </w:r>
      <w:r>
        <w:rPr>
          <w:lang w:val="id_ID" w:bidi="id_ID"/>
        </w:rPr>
        <w:t>Kejadian 29:14–35</w:t>
      </w:r>
      <w:r>
        <w:rPr>
          <w:lang w:val="id_ID" w:bidi="id_ID"/>
        </w:rPr>
        <w:t xml:space="preserve">; </w:t>
      </w:r>
      <w:r>
        <w:rPr>
          <w:lang w:val="id_ID" w:bidi="id_ID"/>
        </w:rPr>
        <w:t>30:9–21</w:t>
      </w:r>
      <w:r>
        <w:rPr>
          <w:lang w:val="id_ID" w:bidi="id_ID"/>
        </w:rPr>
        <w:t xml:space="preserve">; </w:t>
      </w:r>
      <w:r>
        <w:rPr>
          <w:lang w:val="id_ID" w:bidi="id_ID"/>
        </w:rPr>
        <w:t>31:4–16</w:t>
      </w:r>
      <w:r>
        <w:rPr>
          <w:lang w:val="id_ID" w:bidi="id_ID"/>
        </w:rPr>
        <w:t xml:space="preserve">; </w:t>
      </w:r>
      <w:r>
        <w:rPr>
          <w:lang w:val="id_ID" w:bidi="id_ID"/>
        </w:rPr>
        <w:t>33:1–7</w:t>
      </w:r>
      <w:r>
        <w:rPr>
          <w:lang w:val="id_ID" w:bidi="id_ID"/>
        </w:rPr>
        <w:t xml:space="preserve">; </w:t>
      </w:r>
      <w:r>
        <w:rPr>
          <w:lang w:val="id_ID" w:bidi="id_ID"/>
        </w:rPr>
        <w:t>34:1</w:t>
      </w:r>
      <w:r>
        <w:rPr>
          <w:lang w:val="id_ID" w:bidi="id_ID"/>
        </w:rPr>
        <w:t xml:space="preserve">; </w:t>
      </w:r>
      <w:r>
        <w:rPr>
          <w:lang w:val="id_ID" w:bidi="id_ID"/>
        </w:rPr>
        <w:t>46:8–15</w:t>
      </w:r>
      <w:r>
        <w:rPr>
          <w:lang w:val="id_ID" w:bidi="id_ID"/>
        </w:rPr>
        <w:t xml:space="preserve">; </w:t>
      </w:r>
      <w:r>
        <w:rPr>
          <w:lang w:val="id_ID" w:bidi="id_ID"/>
        </w:rPr>
        <w:t>49:31</w:t>
      </w:r>
      <w:r>
        <w:rPr>
          <w:lang w:val="id_ID" w:bidi="id_ID"/>
        </w:rPr>
        <w:t xml:space="preserve">; </w:t>
      </w:r>
      <w:r>
        <w:rPr>
          <w:lang w:val="id_ID" w:bidi="id_ID"/>
        </w:rPr>
        <w:t>Rut 4:11</w:t>
      </w:r>
      <w:r>
        <w:rPr>
          <w:lang w:val="id_ID" w:bidi="id_ID"/>
        </w:rPr>
      </w:r>
      <w:r>
        <w:rPr>
          <w:lang w:val="id_ID" w:bidi="id_ID"/>
        </w:rPr>
      </w:r>
    </w:p>
    <w:p>
      <w:pPr/>
      <w:r>
        <w:rPr>
          <w:lang w:val="id_ID" w:bidi="id_ID"/>
        </w:rPr>
      </w:r>
    </w:p>
    <w:p>
      <w:pPr>
        <w:pStyle w:val="Heading2"/>
      </w:pPr>
      <w:r>
        <w:rPr>
          <w:lang w:val="id_ID" w:bidi="id_ID"/>
        </w:rPr>
        <w:t>Lot</w:t>
      </w:r>
      <w:r>
        <w:rPr>
          <w:lang w:val="id_ID" w:bidi="id_ID"/>
        </w:rPr>
      </w:r>
    </w:p>
    <w:p>
      <w:pPr/>
      <w:r>
        <w:rPr>
          <w:lang w:val="id_ID" w:bidi="id_ID"/>
        </w:rPr>
      </w:r>
      <w:r>
        <w:rPr>
          <w:lang w:val="id_ID" w:bidi="id_ID"/>
        </w:rPr>
        <w:t>Lot adalah keponakan Abraham dan leluhur dari bangsa Moab dan Amon. Seperti Abraham, Lot lahir di Ur dan melakukan perjalanan bersama Terah ke Haran (</w:t>
      </w:r>
      <w:r>
        <w:rPr>
          <w:lang w:val="id_ID" w:bidi="id_ID"/>
        </w:rPr>
        <w:t>Kejadian 11:27–32</w:t>
      </w:r>
      <w:r>
        <w:rPr>
          <w:lang w:val="id_ID" w:bidi="id_ID"/>
        </w:rPr>
        <w:t>). Setelah Terah meninggal, Lot bergabung dengan Abraham dalam perjalanan ke Kanaan dan Mesir.</w:t>
      </w:r>
    </w:p>
    <w:p>
      <w:pPr/>
      <w:r>
        <w:rPr>
          <w:lang w:val="id_ID" w:bidi="id_ID"/>
        </w:rPr>
      </w:r>
      <w:r>
        <w:rPr>
          <w:lang w:val="id_ID" w:bidi="id_ID"/>
        </w:rPr>
        <w:t>Ketika Lot dan Abraham kembali dari Mesir ke Kanaan, ternak mereka menjadi terlalu banyak untuk memungkinkan mereka tinggal bersama. Oleh karena itu, Abraham mengizinkan Lot memilih bagian dari negeri itu untuk dirinya sendiri. Lot memilih dataran subur Yordan, yang seperti "taman Tuhan" (</w:t>
      </w:r>
      <w:r>
        <w:rPr>
          <w:lang w:val="id_ID" w:bidi="id_ID"/>
        </w:rPr>
        <w:t>Kejadian 13:10</w:t>
      </w:r>
      <w:r>
        <w:rPr>
          <w:lang w:val="id_ID" w:bidi="id_ID"/>
        </w:rPr>
        <w:t>). Akhirnya, dia menetap di Sodom. Keterlibatan Lot yang semakin dalam dengan kota-kota yang jahat di dataran tersebut melemahkan nilai-nilai moralnya.</w:t>
      </w:r>
    </w:p>
    <w:p>
      <w:pPr/>
      <w:r>
        <w:rPr>
          <w:lang w:val="id_ID" w:bidi="id_ID"/>
        </w:rPr>
      </w:r>
      <w:r>
        <w:rPr>
          <w:lang w:val="id_ID" w:bidi="id_ID"/>
        </w:rPr>
        <w:t>Ketika Lot tinggal di Sodom, empat raja dari Mesopotamia mengalahkan raja-raja dari lima kota terdekat. Mereka menjarah barang-barang dari kota-kota yang telah mereka taklukkan dan membawa Lot, keluarganya, serta harta bendanya (</w:t>
      </w:r>
      <w:r>
        <w:rPr>
          <w:lang w:val="id_ID" w:bidi="id_ID"/>
        </w:rPr>
        <w:t>Kejadian 14:1–12</w:t>
      </w:r>
      <w:r>
        <w:rPr>
          <w:lang w:val="id_ID" w:bidi="id_ID"/>
        </w:rPr>
        <w:t>). Saat Abraham mendengar hal ini, dia memimpin serangan terhadap para penyerbu dan berhasil menyelamatkan para tawanan serta harta benda mereka (</w:t>
      </w:r>
      <w:r>
        <w:rPr>
          <w:lang w:val="id_ID" w:bidi="id_ID"/>
        </w:rPr>
        <w:t>Kejadian 14:13–16</w:t>
      </w:r>
      <w:r>
        <w:rPr>
          <w:lang w:val="id_ID" w:bidi="id_ID"/>
        </w:rPr>
        <w:t>).</w:t>
      </w:r>
    </w:p>
    <w:p>
      <w:pPr/>
      <w:r>
        <w:rPr>
          <w:lang w:val="id_ID" w:bidi="id_ID"/>
        </w:rPr>
      </w:r>
      <w:r>
        <w:rPr>
          <w:lang w:val="id_ID" w:bidi="id_ID"/>
        </w:rPr>
        <w:t>Karena kejahatan Sodom dan Gomora, Allah memutuskan untuk menghancurkan kota-kota ini. Dia mengirim dua malaikat kepada Lot di Sodom untuk mendesaknya meninggalkan kota yang akan dihancurkan (</w:t>
      </w:r>
      <w:r>
        <w:rPr>
          <w:lang w:val="id_ID" w:bidi="id_ID"/>
        </w:rPr>
        <w:t>Kejadian 19:1–15</w:t>
      </w:r>
      <w:r>
        <w:rPr>
          <w:lang w:val="id_ID" w:bidi="id_ID"/>
        </w:rPr>
        <w:t>). Kejahatan kota itu terlihat jelas ketika ada upaya serangan terhadap para tamu. Tawaran Lot untuk mengorbankan putrinya dan keraguannya untuk pergi menunjukkan kemerosotan moralnya. Hanya keluarganya yang segera pergi bersamanya, dan istrinya dihancurkan karena tidak mematuhi dengan melihat ke belakang.</w:t>
      </w:r>
    </w:p>
    <w:p>
      <w:pPr/>
      <w:r>
        <w:rPr>
          <w:lang w:val="id_ID" w:bidi="id_ID"/>
        </w:rPr>
      </w:r>
      <w:r>
        <w:rPr>
          <w:lang w:val="id_ID" w:bidi="id_ID"/>
        </w:rPr>
        <w:t>Setelah kehancuran Sodom, putri-putri Lot khawatir tidak akan memiliki suami, sehingga mereka membuat Lot mabuk untuk mendapatkan keturunan darinya. Anak-anak mereka, Moab dan Ben-Ami, menjadi leluhur bangsa Moab dan Amon (</w:t>
      </w:r>
      <w:r>
        <w:rPr>
          <w:lang w:val="id_ID" w:bidi="id_ID"/>
        </w:rPr>
        <w:t>Kejadian 19:30–38</w:t>
      </w:r>
      <w:r>
        <w:rPr>
          <w:lang w:val="id_ID" w:bidi="id_ID"/>
        </w:rPr>
        <w:t xml:space="preserve">). Kedua bangsa ini kemudian menjadi musuh abadi Israel (lihat </w:t>
      </w:r>
      <w:r>
        <w:rPr>
          <w:lang w:val="id_ID" w:bidi="id_ID"/>
        </w:rPr>
        <w:t>Ulangan 23:3–6</w:t>
      </w:r>
      <w:r>
        <w:rPr>
          <w:lang w:val="id_ID" w:bidi="id_ID"/>
        </w:rPr>
        <w:t xml:space="preserve">). Meskipun tindakan Lot demikian, Petrus menggambarkan Lot sebagai “manusia benar, yang tinggal di antara mereka hari demi hari, tersiksa dalam jiwanya yang benar oleh perbuatan-perbuatan yang melanggar hukum yang dilihat dan didengarnya” (lihat </w:t>
      </w:r>
      <w:r>
        <w:rPr>
          <w:lang w:val="id_ID" w:bidi="id_ID"/>
        </w:rPr>
        <w:t>2 Petrus 2:6–9</w:t>
      </w:r>
      <w:r>
        <w:rPr>
          <w:lang w:val="id_ID" w:bidi="id_ID"/>
        </w:rPr>
        <w:t>). Pandangan tentang Lot ini mungkin berasal dari tradisi Yahudi, karena sulit untuk melihatnya dalam cerita Kejadian.</w:t>
      </w:r>
    </w:p>
    <w:p>
      <w:pPr/>
      <w:r>
        <w:rPr>
          <w:lang w:val="id_ID" w:bidi="id_ID"/>
        </w:rPr>
      </w:r>
      <w:r>
        <w:rPr>
          <w:u w:val="single"/>
          <w:lang w:val="id_ID" w:bidi="id_ID"/>
        </w:rPr>
        <w:t>Ayat-ayat untuk Pembelajaran Lebih Lanjut</w:t>
      </w:r>
    </w:p>
    <w:p>
      <w:pPr/>
      <w:r>
        <w:rPr>
          <w:lang w:val="id_ID" w:bidi="id_ID"/>
        </w:rPr>
      </w:r>
      <w:r>
        <w:rPr>
          <w:lang w:val="id_ID" w:bidi="id_ID"/>
        </w:rPr>
        <w:t>Kejadian 11:27</w:t>
      </w:r>
      <w:r>
        <w:rPr>
          <w:lang w:val="id_ID" w:bidi="id_ID"/>
        </w:rPr>
        <w:t xml:space="preserve">, </w:t>
      </w:r>
      <w:r>
        <w:rPr>
          <w:lang w:val="id_ID" w:bidi="id_ID"/>
        </w:rPr>
        <w:t>31</w:t>
      </w:r>
      <w:r>
        <w:rPr>
          <w:lang w:val="id_ID" w:bidi="id_ID"/>
        </w:rPr>
        <w:t xml:space="preserve">; </w:t>
      </w:r>
      <w:r>
        <w:rPr>
          <w:lang w:val="id_ID" w:bidi="id_ID"/>
        </w:rPr>
        <w:t>12:4–5</w:t>
      </w:r>
      <w:r>
        <w:rPr>
          <w:lang w:val="id_ID" w:bidi="id_ID"/>
        </w:rPr>
        <w:t xml:space="preserve">; </w:t>
      </w:r>
      <w:r>
        <w:rPr>
          <w:lang w:val="id_ID" w:bidi="id_ID"/>
        </w:rPr>
        <w:t>13:1–14</w:t>
      </w:r>
      <w:r>
        <w:rPr>
          <w:lang w:val="id_ID" w:bidi="id_ID"/>
        </w:rPr>
        <w:t xml:space="preserve">; </w:t>
      </w:r>
      <w:r>
        <w:rPr>
          <w:lang w:val="id_ID" w:bidi="id_ID"/>
        </w:rPr>
        <w:t>14:12–16</w:t>
      </w:r>
      <w:r>
        <w:rPr>
          <w:lang w:val="id_ID" w:bidi="id_ID"/>
        </w:rPr>
        <w:t xml:space="preserve">; </w:t>
      </w:r>
      <w:r>
        <w:rPr>
          <w:lang w:val="id_ID" w:bidi="id_ID"/>
        </w:rPr>
        <w:t>19:1–38</w:t>
      </w:r>
      <w:r>
        <w:rPr>
          <w:lang w:val="id_ID" w:bidi="id_ID"/>
        </w:rPr>
        <w:t xml:space="preserve">; </w:t>
      </w:r>
      <w:r>
        <w:rPr>
          <w:lang w:val="id_ID" w:bidi="id_ID"/>
        </w:rPr>
        <w:t>Ulangan 2:9</w:t>
      </w:r>
      <w:r>
        <w:rPr>
          <w:lang w:val="id_ID" w:bidi="id_ID"/>
        </w:rPr>
        <w:t xml:space="preserve">, </w:t>
      </w:r>
      <w:r>
        <w:rPr>
          <w:lang w:val="id_ID" w:bidi="id_ID"/>
        </w:rPr>
        <w:t>17–19</w:t>
      </w:r>
      <w:r>
        <w:rPr>
          <w:lang w:val="id_ID" w:bidi="id_ID"/>
        </w:rPr>
        <w:t xml:space="preserve">; </w:t>
      </w:r>
      <w:r>
        <w:rPr>
          <w:lang w:val="id_ID" w:bidi="id_ID"/>
        </w:rPr>
        <w:t>Mazmur 83:4–8</w:t>
      </w:r>
      <w:r>
        <w:rPr>
          <w:lang w:val="id_ID" w:bidi="id_ID"/>
        </w:rPr>
        <w:t xml:space="preserve">; </w:t>
      </w:r>
      <w:r>
        <w:rPr>
          <w:lang w:val="id_ID" w:bidi="id_ID"/>
        </w:rPr>
        <w:t>Lukas 17:28–33</w:t>
      </w:r>
      <w:r>
        <w:rPr>
          <w:lang w:val="id_ID" w:bidi="id_ID"/>
        </w:rPr>
        <w:t xml:space="preserve">; </w:t>
      </w:r>
      <w:r>
        <w:rPr>
          <w:lang w:val="id_ID" w:bidi="id_ID"/>
        </w:rPr>
        <w:t>2 Petrus 2:6–9</w:t>
      </w:r>
      <w:r>
        <w:rPr>
          <w:lang w:val="id_ID" w:bidi="id_ID"/>
        </w:rPr>
      </w:r>
      <w:r>
        <w:rPr>
          <w:lang w:val="id_ID" w:bidi="id_ID"/>
        </w:rPr>
      </w:r>
    </w:p>
    <w:p>
      <w:pPr/>
      <w:r>
        <w:rPr>
          <w:lang w:val="id_ID" w:bidi="id_ID"/>
        </w:rPr>
      </w:r>
    </w:p>
    <w:p>
      <w:pPr>
        <w:pStyle w:val="Heading2"/>
      </w:pPr>
      <w:r>
        <w:rPr>
          <w:lang w:val="id_ID" w:bidi="id_ID"/>
        </w:rPr>
        <w:t>Lukas</w:t>
      </w:r>
      <w:r>
        <w:rPr>
          <w:lang w:val="id_ID" w:bidi="id_ID"/>
        </w:rPr>
      </w:r>
    </w:p>
    <w:p>
      <w:pPr/>
      <w:r>
        <w:rPr>
          <w:lang w:val="id_ID" w:bidi="id_ID"/>
        </w:rPr>
      </w:r>
      <w:r>
        <w:rPr>
          <w:lang w:val="id_ID" w:bidi="id_ID"/>
        </w:rPr>
        <w:t>Lukas adalah seorang tabib non-Yahudi yang menjadi Kristen dan menjadi orang kepercayaan Paulus dalam setiap misinya. Dia menulis baik Injil Lukas maupun Kisah Para Rasul, yang membentuk sekitar seperempat dari Perjanjian Baru.</w:t>
      </w:r>
    </w:p>
    <w:p>
      <w:pPr/>
      <w:r>
        <w:rPr>
          <w:lang w:val="id_ID" w:bidi="id_ID"/>
        </w:rPr>
      </w:r>
      <w:r>
        <w:rPr>
          <w:lang w:val="id_ID" w:bidi="id_ID"/>
        </w:rPr>
        <w:t>Kita mengetahui sedikit tentang latar belakang Lukas, tetapi kemungkinan besar dia pertama kali bertemu Paulus di bagian barat Asia Kecil. Di sana, dia menjadi seorang Kristen. Dia meninggalkan rumahnya untuk melayani Yesus dan menyebarkan kabar baik tentang-Nya sebagai pembantu setia Paulus. Paulus dengan hangat menyebutnya sebagai "tabib yang dikasihi" dan "rekan kerja" yang setia (</w:t>
      </w:r>
      <w:r>
        <w:rPr>
          <w:lang w:val="id_ID" w:bidi="id_ID"/>
        </w:rPr>
        <w:t>Kolose 4:14</w:t>
      </w:r>
      <w:r>
        <w:rPr>
          <w:lang w:val="id_ID" w:bidi="id_ID"/>
        </w:rPr>
        <w:t xml:space="preserve">; </w:t>
      </w:r>
      <w:r>
        <w:rPr>
          <w:lang w:val="id_ID" w:bidi="id_ID"/>
        </w:rPr>
        <w:t>Filemon. 1:24</w:t>
      </w:r>
      <w:r>
        <w:rPr>
          <w:lang w:val="id_ID" w:bidi="id_ID"/>
        </w:rPr>
        <w:t>). Lukas adalah satu-satunya orang Kristen yang tetap bersama Paulus ketika dia menunggu eksekusi di Roma (</w:t>
      </w:r>
      <w:r>
        <w:rPr>
          <w:lang w:val="id_ID" w:bidi="id_ID"/>
        </w:rPr>
        <w:t>2 Timotius 4:11</w:t>
      </w:r>
      <w:r>
        <w:rPr>
          <w:lang w:val="id_ID" w:bidi="id_ID"/>
        </w:rPr>
        <w:t>). Dia juga satu-satunya penulis non-Yahudi yang karyanya ada dalam Perjanjian Baru.</w:t>
      </w:r>
    </w:p>
    <w:p>
      <w:pPr/>
      <w:r>
        <w:rPr>
          <w:lang w:val="id_ID" w:bidi="id_ID"/>
        </w:rPr>
      </w:r>
      <w:r>
        <w:rPr>
          <w:lang w:val="id_ID" w:bidi="id_ID"/>
        </w:rPr>
        <w:t xml:space="preserve">Selama perjalanan terakhir Paulus ke Yerusalem, Lukas kemungkinan mengumpulkan informasi untuk Injilnya dan bagian awal dari Kitab Kisah Para Rasul. Dia mewawancarai orang-orang di Yudea sementara Paulus dipenjara di sana selama dua tahun. Lukas berbicara dengan mereka yang mendengar dan melihat Yesus serta mempelajari apa yang telah ditulis orang lain tentang-Nya. Dia kemudian menulis catatannya sendiri yang terperinci tentang kehidupan dan ajaran Yesus (lihat </w:t>
      </w:r>
      <w:r>
        <w:rPr>
          <w:lang w:val="id_ID" w:bidi="id_ID"/>
        </w:rPr>
        <w:t>Lukas 1:1–4</w:t>
      </w:r>
      <w:r>
        <w:rPr>
          <w:lang w:val="id_ID" w:bidi="id_ID"/>
        </w:rPr>
        <w:t>).</w:t>
      </w:r>
    </w:p>
    <w:p>
      <w:pPr/>
      <w:r>
        <w:rPr>
          <w:lang w:val="id_ID" w:bidi="id_ID"/>
        </w:rPr>
      </w:r>
      <w:r>
        <w:rPr>
          <w:lang w:val="id_ID" w:bidi="id_ID"/>
        </w:rPr>
        <w:t xml:space="preserve">Ketika Paulus melakukan perjalanan dengan kapal ke Roma untuk persidangannya, Lukas ikut bersamanya. Saat Paulus berada dalam tahanan rumah menunggu persidangan, Lukas mungkin memanfaatkan waktu ini untuk menulis Kitab Kisah Para Rasul. Lima belas bab pertama memberikan catatan tentang pekerjaan misi paling awal sesuai urutan terjadinya dan sebagaimana diceritakan kepadanya oleh para pengikut awal Yesus. Paulus sendiri mungkin menceritakan beberapa hal ini kepadanya. Mulai dari </w:t>
      </w:r>
      <w:r>
        <w:rPr>
          <w:lang w:val="id_ID" w:bidi="id_ID"/>
        </w:rPr>
        <w:t>Kisah Para Rasul 16:10</w:t>
      </w:r>
      <w:r>
        <w:rPr>
          <w:lang w:val="id_ID" w:bidi="id_ID"/>
        </w:rPr>
        <w:t xml:space="preserve">, Lukas menulis tentang apa yang dia lihat dan alami sendiri ketika bergabung dengan tim Paulus. Dalam Kisah Para Rasul, Lukas menekankan bagaimana Roh Kudus memberdayakan dan membimbing para misionaris awal dalam pekerjaan mereka (lihat </w:t>
      </w:r>
      <w:r>
        <w:rPr>
          <w:lang w:val="id_ID" w:bidi="id_ID"/>
        </w:rPr>
        <w:t>Kisah Para Rasul 1:4–5</w:t>
      </w:r>
      <w:r>
        <w:rPr>
          <w:lang w:val="id_ID" w:bidi="id_ID"/>
        </w:rPr>
        <w:t xml:space="preserve">, </w:t>
      </w:r>
      <w:r>
        <w:rPr>
          <w:lang w:val="id_ID" w:bidi="id_ID"/>
        </w:rPr>
        <w:t>8</w:t>
      </w:r>
      <w:r>
        <w:rPr>
          <w:lang w:val="id_ID" w:bidi="id_ID"/>
        </w:rPr>
        <w:t>). Kitab ini berakhir dengan Paulus masih dalam tahanan rumah di Roma (</w:t>
      </w:r>
      <w:r>
        <w:rPr>
          <w:lang w:val="id_ID" w:bidi="id_ID"/>
        </w:rPr>
        <w:t>Kisah Para Rasul 28:30–31</w:t>
      </w:r>
      <w:r>
        <w:rPr>
          <w:lang w:val="id_ID" w:bidi="id_ID"/>
        </w:rPr>
        <w:t>).</w:t>
      </w:r>
    </w:p>
    <w:p>
      <w:pPr/>
      <w:r>
        <w:rPr>
          <w:lang w:val="id_ID" w:bidi="id_ID"/>
        </w:rPr>
      </w:r>
      <w:r>
        <w:rPr>
          <w:lang w:val="id_ID" w:bidi="id_ID"/>
        </w:rPr>
        <w:t>Kita berhutang kepada Lukas untuk banyak ayat-ayat yang unik. Ini termasuk catatannya tentang kelahiran Yesus, deskripsi pelayanan Yesus kepada wanita, dan banyak perkataan tentang kepedulian Yesus terhadap orang miskin. Dia juga menyediakan satu-satunya catatan komprehensif tentang tiga puluh tahun pertama aktivitas misionaris Kristen, semuanya didokumentasikan dengan cermat. Melalui tulisan Lukas, kita mendapatkan apresiasi yang lebih mendalam tentang peran penting Roh Kudus dalam pelayanan Yesus dan para misionaris awal.</w:t>
      </w:r>
    </w:p>
    <w:p>
      <w:pPr/>
      <w:r>
        <w:rPr>
          <w:lang w:val="id_ID" w:bidi="id_ID"/>
        </w:rPr>
      </w:r>
      <w:r>
        <w:rPr>
          <w:u w:val="single"/>
          <w:lang w:val="id_ID" w:bidi="id_ID"/>
        </w:rPr>
        <w:t>Ayat-ayat untuk Pembelajaran Lebih Lanjut</w:t>
      </w:r>
    </w:p>
    <w:p>
      <w:pPr/>
      <w:r>
        <w:rPr>
          <w:lang w:val="id_ID" w:bidi="id_ID"/>
        </w:rPr>
      </w:r>
      <w:r>
        <w:rPr>
          <w:lang w:val="id_ID" w:bidi="id_ID"/>
        </w:rPr>
        <w:t>Lukas 1:3</w:t>
      </w:r>
      <w:r>
        <w:rPr>
          <w:lang w:val="id_ID" w:bidi="id_ID"/>
        </w:rPr>
        <w:t xml:space="preserve">; </w:t>
      </w:r>
      <w:r>
        <w:rPr>
          <w:lang w:val="id_ID" w:bidi="id_ID"/>
        </w:rPr>
        <w:t>Kisah Para Rasul 1:1</w:t>
      </w:r>
      <w:r>
        <w:rPr>
          <w:lang w:val="id_ID" w:bidi="id_ID"/>
        </w:rPr>
        <w:t xml:space="preserve">; </w:t>
      </w:r>
      <w:r>
        <w:rPr>
          <w:lang w:val="id_ID" w:bidi="id_ID"/>
        </w:rPr>
        <w:t>16:10</w:t>
      </w:r>
      <w:r>
        <w:rPr>
          <w:lang w:val="id_ID" w:bidi="id_ID"/>
        </w:rPr>
        <w:t xml:space="preserve">; </w:t>
      </w:r>
      <w:r>
        <w:rPr>
          <w:lang w:val="id_ID" w:bidi="id_ID"/>
        </w:rPr>
        <w:t>Kolose 4:14</w:t>
      </w:r>
      <w:r>
        <w:rPr>
          <w:lang w:val="id_ID" w:bidi="id_ID"/>
        </w:rPr>
        <w:t xml:space="preserve">; </w:t>
      </w:r>
      <w:r>
        <w:rPr>
          <w:lang w:val="id_ID" w:bidi="id_ID"/>
        </w:rPr>
        <w:t>2 Timotius 4:11</w:t>
      </w:r>
      <w:r>
        <w:rPr>
          <w:lang w:val="id_ID" w:bidi="id_ID"/>
        </w:rPr>
        <w:t xml:space="preserve">; </w:t>
      </w:r>
      <w:r>
        <w:rPr>
          <w:lang w:val="id_ID" w:bidi="id_ID"/>
        </w:rPr>
        <w:t>Filemon 1:24</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