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尼布甲尼撒二世</w:t>
      </w:r>
      <w:r>
        <w:rPr>
          <w:lang w:val="zh_TW" w:bidi="zh_TW"/>
        </w:rPr>
      </w:r>
    </w:p>
    <w:p>
      <w:pPr/>
      <w:r>
        <w:rPr>
          <w:lang w:val="zh_TW" w:bidi="zh_TW"/>
        </w:rPr>
      </w:r>
      <w:r>
        <w:rPr>
          <w:lang w:val="zh_TW" w:bidi="zh_TW"/>
        </w:rPr>
        <w:t>尼布甲尼撒二世王從公元前605年到公元前562年統治巴比倫。他鞏固並擴展了他的父親尼布卜拉撒的帝國，尼布卜拉撒從公元前626年到公元前605年在位。除了聖經之外，許多古代巴比倫文獻也描述了尼布甲尼撒的成就。</w:t>
      </w:r>
    </w:p>
    <w:p>
      <w:pPr/>
      <w:r>
        <w:rPr>
          <w:lang w:val="zh_TW" w:bidi="zh_TW"/>
        </w:rPr>
      </w:r>
      <w:r>
        <w:rPr>
          <w:lang w:val="zh_TW" w:bidi="zh_TW"/>
        </w:rPr>
        <w:t>公元前626年，巴比倫和猶大一樣，都處於亞述的控制之下。同年，尼布卜拉撒發起一場改變世界的叛亂。公元前612年，巴比倫人攻佔了亞述的首都尼尼微，並在公元前609年再次在哈蘭擊敗了亞述人。在這場戰役中，尼布卜拉撒的兒子尼布甲尼撒率領軍隊。公元前605年，尼布甲尼撒在迦基米施擊敗了剩餘的亞述軍隊。這次勝利也迫使埃及人退回到他們的邊界內。同年，尼布卜拉撒去世，他的兒子成為國王。</w:t>
      </w:r>
    </w:p>
    <w:p>
      <w:pPr/>
      <w:r>
        <w:rPr>
          <w:lang w:val="zh_TW" w:bidi="zh_TW"/>
        </w:rPr>
      </w:r>
      <w:r>
        <w:rPr>
          <w:lang w:val="zh_TW" w:bidi="zh_TW"/>
        </w:rPr>
        <w:t>公元前605年於迦基米施獲勝後，尼布甲尼撒征服了敘利亞和附近地區，包括猶大。同年，他首次圍攻耶路撒冷（</w:t>
      </w:r>
      <w:r>
        <w:rPr>
          <w:lang w:val="zh_TW" w:bidi="zh_TW"/>
        </w:rPr>
        <w:t>王下24:1</w:t>
      </w:r>
      <w:r>
        <w:rPr>
          <w:lang w:val="zh_TW" w:bidi="zh_TW"/>
        </w:rPr>
        <w:t>；</w:t>
      </w:r>
      <w:r>
        <w:rPr>
          <w:lang w:val="zh_TW" w:bidi="zh_TW"/>
        </w:rPr>
        <w:t>但1:1–2</w:t>
      </w:r>
      <w:r>
        <w:rPr>
          <w:lang w:val="zh_TW" w:bidi="zh_TW"/>
        </w:rPr>
        <w:t>）。他擄走一些聖殿的器皿和猶大的年輕領袖，其中包括但以理和他的三位朋友。尼布甲尼撒在公元前597年再次攻陷耶路撒冷（</w:t>
      </w:r>
      <w:r>
        <w:rPr>
          <w:lang w:val="zh_TW" w:bidi="zh_TW"/>
        </w:rPr>
        <w:t>王下24:10–17</w:t>
      </w:r>
      <w:r>
        <w:rPr>
          <w:lang w:val="zh_TW" w:bidi="zh_TW"/>
        </w:rPr>
        <w:t>）。公元前588年他圍攻耶路撒冷，並在公元前586年摧毀了城市和聖殿，將大部分剩下的人擄走（</w:t>
      </w:r>
      <w:r>
        <w:rPr>
          <w:lang w:val="zh_TW" w:bidi="zh_TW"/>
        </w:rPr>
        <w:t>王下25:1–21</w:t>
      </w:r>
      <w:r>
        <w:rPr>
          <w:lang w:val="zh_TW" w:bidi="zh_TW"/>
        </w:rPr>
        <w:t>）。</w:t>
      </w:r>
    </w:p>
    <w:p>
      <w:pPr/>
      <w:r>
        <w:rPr>
          <w:lang w:val="zh_TW" w:bidi="zh_TW"/>
        </w:rPr>
      </w:r>
      <w:r>
        <w:rPr>
          <w:lang w:val="zh_TW" w:bidi="zh_TW"/>
        </w:rPr>
        <w:t>但以理書對尼布甲尼撒有詳細且有趣的描述。他將但以理和他的朋友帶到巴比倫，以巴比倫的方式教育他們。然而，神使用但以理教導尼布甲尼撒關於神的事。因著他極大的驕傲而受到教訓之後（</w:t>
      </w:r>
      <w:r>
        <w:rPr>
          <w:lang w:val="zh_TW" w:bidi="zh_TW"/>
        </w:rPr>
        <w:t>但4:28–33</w:t>
      </w:r>
      <w:r>
        <w:rPr>
          <w:lang w:val="zh_TW" w:bidi="zh_TW"/>
        </w:rPr>
        <w:t>），尼布甲尼撒承認了耶和華的主權和能力（</w:t>
      </w:r>
      <w:r>
        <w:rPr>
          <w:lang w:val="zh_TW" w:bidi="zh_TW"/>
        </w:rPr>
        <w:t>但4:34–37</w:t>
      </w:r>
      <w:r>
        <w:rPr>
          <w:lang w:val="zh_TW" w:bidi="zh_TW"/>
        </w:rPr>
        <w:t>）。然而，他可能從未專一崇拜真正的神。</w:t>
      </w:r>
    </w:p>
    <w:p>
      <w:pPr/>
      <w:r>
        <w:rPr>
          <w:lang w:val="zh_TW" w:bidi="zh_TW"/>
        </w:rPr>
      </w:r>
      <w:r>
        <w:rPr>
          <w:u w:val="single"/>
          <w:lang w:val="zh_TW" w:bidi="zh_TW"/>
        </w:rPr>
        <w:t>進深研究的經文段落</w:t>
      </w:r>
    </w:p>
    <w:p>
      <w:pPr/>
      <w:r>
        <w:rPr>
          <w:lang w:val="zh_TW" w:bidi="zh_TW"/>
        </w:rPr>
      </w:r>
      <w:r>
        <w:rPr>
          <w:lang w:val="zh_TW" w:bidi="zh_TW"/>
        </w:rPr>
        <w:t>王下24:1–25:30</w:t>
      </w:r>
      <w:r>
        <w:rPr>
          <w:lang w:val="zh_TW" w:bidi="zh_TW"/>
        </w:rPr>
        <w:t>；</w:t>
      </w:r>
      <w:r>
        <w:rPr>
          <w:lang w:val="zh_TW" w:bidi="zh_TW"/>
        </w:rPr>
        <w:t>代下36:6–21</w:t>
      </w:r>
      <w:r>
        <w:rPr>
          <w:lang w:val="zh_TW" w:bidi="zh_TW"/>
        </w:rPr>
        <w:t>；</w:t>
      </w:r>
      <w:r>
        <w:rPr>
          <w:lang w:val="zh_TW" w:bidi="zh_TW"/>
        </w:rPr>
        <w:t>耶21:1–10</w:t>
      </w:r>
      <w:r>
        <w:rPr>
          <w:lang w:val="zh_TW" w:bidi="zh_TW"/>
        </w:rPr>
        <w:t>，</w:t>
      </w:r>
      <w:r>
        <w:rPr>
          <w:lang w:val="zh_TW" w:bidi="zh_TW"/>
        </w:rPr>
        <w:t>22:24–27</w:t>
      </w:r>
      <w:r>
        <w:rPr>
          <w:lang w:val="zh_TW" w:bidi="zh_TW"/>
        </w:rPr>
        <w:t>，</w:t>
      </w:r>
      <w:r>
        <w:rPr>
          <w:lang w:val="zh_TW" w:bidi="zh_TW"/>
        </w:rPr>
        <w:t>24:1</w:t>
      </w:r>
      <w:r>
        <w:rPr>
          <w:lang w:val="zh_TW" w:bidi="zh_TW"/>
        </w:rPr>
        <w:t>，</w:t>
      </w:r>
      <w:r>
        <w:rPr>
          <w:lang w:val="zh_TW" w:bidi="zh_TW"/>
        </w:rPr>
        <w:t>25:1–14</w:t>
      </w:r>
      <w:r>
        <w:rPr>
          <w:lang w:val="zh_TW" w:bidi="zh_TW"/>
        </w:rPr>
        <w:t>，</w:t>
      </w:r>
      <w:r>
        <w:rPr>
          <w:lang w:val="zh_TW" w:bidi="zh_TW"/>
        </w:rPr>
        <w:t>27:4–8</w:t>
      </w:r>
      <w:r>
        <w:rPr>
          <w:lang w:val="zh_TW" w:bidi="zh_TW"/>
        </w:rPr>
        <w:t>，</w:t>
      </w:r>
      <w:r>
        <w:rPr>
          <w:lang w:val="zh_TW" w:bidi="zh_TW"/>
        </w:rPr>
        <w:t>28:14</w:t>
      </w:r>
      <w:r>
        <w:rPr>
          <w:lang w:val="zh_TW" w:bidi="zh_TW"/>
        </w:rPr>
        <w:t>，</w:t>
      </w:r>
      <w:r>
        <w:rPr>
          <w:lang w:val="zh_TW" w:bidi="zh_TW"/>
        </w:rPr>
        <w:t>29:1–23</w:t>
      </w:r>
      <w:r>
        <w:rPr>
          <w:lang w:val="zh_TW" w:bidi="zh_TW"/>
        </w:rPr>
        <w:t>，</w:t>
      </w:r>
      <w:r>
        <w:rPr>
          <w:lang w:val="zh_TW" w:bidi="zh_TW"/>
        </w:rPr>
        <w:t>32:1–5</w:t>
      </w:r>
      <w:r>
        <w:rPr>
          <w:lang w:val="zh_TW" w:bidi="zh_TW"/>
        </w:rPr>
        <w:t>，</w:t>
      </w:r>
      <w:r>
        <w:rPr>
          <w:lang w:val="zh_TW" w:bidi="zh_TW"/>
        </w:rPr>
        <w:t>26–31</w:t>
      </w:r>
      <w:r>
        <w:rPr>
          <w:lang w:val="zh_TW" w:bidi="zh_TW"/>
        </w:rPr>
        <w:t>，</w:t>
      </w:r>
      <w:r>
        <w:rPr>
          <w:lang w:val="zh_TW" w:bidi="zh_TW"/>
        </w:rPr>
        <w:t>34:1–3</w:t>
      </w:r>
      <w:r>
        <w:rPr>
          <w:lang w:val="zh_TW" w:bidi="zh_TW"/>
        </w:rPr>
        <w:t>，</w:t>
      </w:r>
      <w:r>
        <w:rPr>
          <w:lang w:val="zh_TW" w:bidi="zh_TW"/>
        </w:rPr>
        <w:t>37:1</w:t>
      </w:r>
      <w:r>
        <w:rPr>
          <w:lang w:val="zh_TW" w:bidi="zh_TW"/>
        </w:rPr>
        <w:t>，</w:t>
      </w:r>
      <w:r>
        <w:rPr>
          <w:lang w:val="zh_TW" w:bidi="zh_TW"/>
        </w:rPr>
        <w:t>39:1–14</w:t>
      </w:r>
      <w:r>
        <w:rPr>
          <w:lang w:val="zh_TW" w:bidi="zh_TW"/>
        </w:rPr>
        <w:t>，</w:t>
      </w:r>
      <w:r>
        <w:rPr>
          <w:lang w:val="zh_TW" w:bidi="zh_TW"/>
        </w:rPr>
        <w:t>43:10–13</w:t>
      </w:r>
      <w:r>
        <w:rPr>
          <w:lang w:val="zh_TW" w:bidi="zh_TW"/>
        </w:rPr>
        <w:t>，</w:t>
      </w:r>
      <w:r>
        <w:rPr>
          <w:lang w:val="zh_TW" w:bidi="zh_TW"/>
        </w:rPr>
        <w:t>46:2</w:t>
      </w:r>
      <w:r>
        <w:rPr>
          <w:lang w:val="zh_TW" w:bidi="zh_TW"/>
        </w:rPr>
        <w:t>、</w:t>
      </w:r>
      <w:r>
        <w:rPr>
          <w:lang w:val="zh_TW" w:bidi="zh_TW"/>
        </w:rPr>
        <w:t>13–26</w:t>
      </w:r>
      <w:r>
        <w:rPr>
          <w:lang w:val="zh_TW" w:bidi="zh_TW"/>
        </w:rPr>
        <w:t>，</w:t>
      </w:r>
      <w:r>
        <w:rPr>
          <w:lang w:val="zh_TW" w:bidi="zh_TW"/>
        </w:rPr>
        <w:t>49:28–33</w:t>
      </w:r>
      <w:r>
        <w:rPr>
          <w:lang w:val="zh_TW" w:bidi="zh_TW"/>
        </w:rPr>
        <w:t>，</w:t>
      </w:r>
      <w:r>
        <w:rPr>
          <w:lang w:val="zh_TW" w:bidi="zh_TW"/>
        </w:rPr>
        <w:t>50:17</w:t>
      </w:r>
      <w:r>
        <w:rPr>
          <w:lang w:val="zh_TW" w:bidi="zh_TW"/>
        </w:rPr>
        <w:t>，</w:t>
      </w:r>
      <w:r>
        <w:rPr>
          <w:lang w:val="zh_TW" w:bidi="zh_TW"/>
        </w:rPr>
        <w:t>51:34</w:t>
      </w:r>
      <w:r>
        <w:rPr>
          <w:lang w:val="zh_TW" w:bidi="zh_TW"/>
        </w:rPr>
        <w:t>，</w:t>
      </w:r>
      <w:r>
        <w:rPr>
          <w:lang w:val="zh_TW" w:bidi="zh_TW"/>
        </w:rPr>
        <w:t>52:4–16</w:t>
      </w:r>
      <w:r>
        <w:rPr>
          <w:lang w:val="zh_TW" w:bidi="zh_TW"/>
        </w:rPr>
        <w:t>、</w:t>
      </w:r>
      <w:r>
        <w:rPr>
          <w:lang w:val="zh_TW" w:bidi="zh_TW"/>
        </w:rPr>
        <w:t>28–30</w:t>
      </w:r>
      <w:r>
        <w:rPr>
          <w:lang w:val="zh_TW" w:bidi="zh_TW"/>
        </w:rPr>
        <w:t>；</w:t>
      </w:r>
      <w:r>
        <w:rPr>
          <w:lang w:val="zh_TW" w:bidi="zh_TW"/>
        </w:rPr>
        <w:t>結26:7</w:t>
      </w:r>
      <w:r>
        <w:rPr>
          <w:lang w:val="zh_TW" w:bidi="zh_TW"/>
        </w:rPr>
        <w:t>，</w:t>
      </w:r>
      <w:r>
        <w:rPr>
          <w:lang w:val="zh_TW" w:bidi="zh_TW"/>
        </w:rPr>
        <w:t>29:18–20</w:t>
      </w:r>
      <w:r>
        <w:rPr>
          <w:lang w:val="zh_TW" w:bidi="zh_TW"/>
        </w:rPr>
        <w:t>，</w:t>
      </w:r>
      <w:r>
        <w:rPr>
          <w:lang w:val="zh_TW" w:bidi="zh_TW"/>
        </w:rPr>
        <w:t>30:10–11</w:t>
      </w:r>
      <w:r>
        <w:rPr>
          <w:lang w:val="zh_TW" w:bidi="zh_TW"/>
        </w:rPr>
        <w:t>；</w:t>
      </w:r>
      <w:r>
        <w:rPr>
          <w:lang w:val="zh_TW" w:bidi="zh_TW"/>
        </w:rPr>
        <w:t>但1:1–4:37</w:t>
      </w:r>
      <w:r>
        <w:rPr>
          <w:lang w:val="zh_TW" w:bidi="zh_TW"/>
        </w:rPr>
      </w:r>
      <w:r>
        <w:rPr>
          <w:lang w:val="zh_TW" w:bidi="zh_TW"/>
        </w:rPr>
      </w:r>
    </w:p>
    <w:p>
      <w:pPr/>
      <w:r>
        <w:rPr>
          <w:lang w:val="zh_TW" w:bidi="zh_TW"/>
        </w:rPr>
      </w:r>
    </w:p>
    <w:p>
      <w:pPr>
        <w:pStyle w:val="Heading2"/>
      </w:pPr>
      <w:r>
        <w:rPr>
          <w:lang w:val="zh_TW" w:bidi="zh_TW"/>
        </w:rPr>
        <w:t>尼哥德慕</w:t>
      </w:r>
      <w:r>
        <w:rPr>
          <w:lang w:val="zh_TW" w:bidi="zh_TW"/>
        </w:rPr>
      </w:r>
    </w:p>
    <w:p>
      <w:pPr/>
      <w:r>
        <w:rPr>
          <w:lang w:val="zh_TW" w:bidi="zh_TW"/>
        </w:rPr>
      </w:r>
      <w:r>
        <w:rPr>
          <w:lang w:val="zh_TW" w:bidi="zh_TW"/>
        </w:rPr>
        <w:t>尼哥德慕是受人尊敬的猶太法利賽人（</w:t>
      </w:r>
      <w:r>
        <w:rPr>
          <w:lang w:val="zh_TW" w:bidi="zh_TW"/>
        </w:rPr>
        <w:t>約3:1</w:t>
      </w:r>
      <w:r>
        <w:rPr>
          <w:lang w:val="zh_TW" w:bidi="zh_TW"/>
        </w:rPr>
        <w:t>），也是公議會的重要成員。他似乎也成為耶穌的跟從者。約翰福音是唯一提到他的地方。</w:t>
      </w:r>
    </w:p>
    <w:p>
      <w:pPr/>
      <w:r>
        <w:rPr>
          <w:lang w:val="zh_TW" w:bidi="zh_TW"/>
        </w:rPr>
      </w:r>
      <w:r>
        <w:rPr>
          <w:lang w:val="zh_TW" w:bidi="zh_TW"/>
        </w:rPr>
        <w:t>尼哥德慕對耶穌的權柄和神蹟感到希奇。因此，他在夜裡秘密拜訪耶穌，以了解更多關於耶穌的事。耶穌告訴尼哥德慕，他必須重生才能進入神的國（</w:t>
      </w:r>
      <w:r>
        <w:rPr>
          <w:lang w:val="zh_TW" w:bidi="zh_TW"/>
        </w:rPr>
        <w:t>約3:1–8</w:t>
      </w:r>
      <w:r>
        <w:rPr>
          <w:lang w:val="zh_TW" w:bidi="zh_TW"/>
        </w:rPr>
        <w:t>）。福音書並未說明尼哥德慕的回應。</w:t>
      </w:r>
    </w:p>
    <w:p>
      <w:pPr/>
      <w:r>
        <w:rPr>
          <w:lang w:val="zh_TW" w:bidi="zh_TW"/>
        </w:rPr>
      </w:r>
      <w:r>
        <w:rPr>
          <w:lang w:val="zh_TW" w:bidi="zh_TW"/>
        </w:rPr>
        <w:t>後來，他強烈主張耶穌應該得到公正的審判（</w:t>
      </w:r>
      <w:r>
        <w:rPr>
          <w:lang w:val="zh_TW" w:bidi="zh_TW"/>
        </w:rPr>
        <w:t>約7:50–51</w:t>
      </w:r>
      <w:r>
        <w:rPr>
          <w:lang w:val="zh_TW" w:bidi="zh_TW"/>
        </w:rPr>
        <w:t>），與猶太公會的同僚不同。耶穌死在十字架上之後，他購買七十五磅昂貴的香膏用於安葬。他把香膏帶到墓地，並協助亞利馬太的約瑟安葬耶穌（</w:t>
      </w:r>
      <w:r>
        <w:rPr>
          <w:lang w:val="zh_TW" w:bidi="zh_TW"/>
        </w:rPr>
        <w:t>約19:39–42</w:t>
      </w:r>
      <w:r>
        <w:rPr>
          <w:lang w:val="zh_TW" w:bidi="zh_TW"/>
        </w:rPr>
        <w:t>）。因此，尼哥德慕似乎是一位相信耶穌的法利賽人，他願意在耶穌死後公開表達他的委身。</w:t>
      </w:r>
    </w:p>
    <w:p>
      <w:pPr/>
      <w:r>
        <w:rPr>
          <w:lang w:val="zh_TW" w:bidi="zh_TW"/>
        </w:rPr>
      </w:r>
      <w:r>
        <w:rPr>
          <w:u w:val="single"/>
          <w:lang w:val="zh_TW" w:bidi="zh_TW"/>
        </w:rPr>
        <w:t>進深研究的經文段落</w:t>
      </w:r>
    </w:p>
    <w:p>
      <w:pPr/>
      <w:r>
        <w:rPr>
          <w:lang w:val="zh_TW" w:bidi="zh_TW"/>
        </w:rPr>
      </w:r>
      <w:r>
        <w:rPr>
          <w:lang w:val="zh_TW" w:bidi="zh_TW"/>
        </w:rPr>
        <w:t>約3:1–9</w:t>
      </w:r>
      <w:r>
        <w:rPr>
          <w:lang w:val="zh_TW" w:bidi="zh_TW"/>
        </w:rPr>
        <w:t>，</w:t>
      </w:r>
      <w:r>
        <w:rPr>
          <w:lang w:val="zh_TW" w:bidi="zh_TW"/>
        </w:rPr>
        <w:t>7:50</w:t>
      </w:r>
      <w:r>
        <w:rPr>
          <w:lang w:val="zh_TW" w:bidi="zh_TW"/>
        </w:rPr>
        <w:t>，</w:t>
      </w:r>
      <w:r>
        <w:rPr>
          <w:lang w:val="zh_TW" w:bidi="zh_TW"/>
        </w:rPr>
        <w:t>19:39–42</w:t>
      </w:r>
      <w:r>
        <w:rPr>
          <w:lang w:val="zh_TW" w:bidi="zh_TW"/>
        </w:rPr>
      </w:r>
      <w:r>
        <w:rPr>
          <w:lang w:val="zh_TW" w:bidi="zh_TW"/>
        </w:rPr>
      </w:r>
    </w:p>
    <w:p>
      <w:pPr/>
      <w:r>
        <w:rPr>
          <w:lang w:val="zh_TW" w:bidi="zh_TW"/>
        </w:rPr>
      </w:r>
    </w:p>
    <w:p>
      <w:pPr>
        <w:pStyle w:val="Heading2"/>
      </w:pPr>
      <w:r>
        <w:rPr>
          <w:lang w:val="zh_TW" w:bidi="zh_TW"/>
        </w:rPr>
        <w:t>尼祿</w:t>
      </w:r>
      <w:r>
        <w:rPr>
          <w:lang w:val="zh_TW" w:bidi="zh_TW"/>
        </w:rPr>
      </w:r>
    </w:p>
    <w:p>
      <w:pPr/>
      <w:r>
        <w:rPr>
          <w:lang w:val="zh_TW" w:bidi="zh_TW"/>
        </w:rPr>
      </w:r>
      <w:r>
        <w:rPr>
          <w:lang w:val="zh_TW" w:bidi="zh_TW"/>
        </w:rPr>
        <w:t>公元54年，尼祿在他的母親毒死她的丈夫，即皇帝克勞第之後成為羅馬的皇帝，當時年僅17歲。尼祿喜歡被人關注。他以不道德的行為和揮霍無度而聞名。在他統治的早期，有兩位顧問很好地管理了帝國：</w:t>
      </w:r>
    </w:p>
    <w:p>
      <w:pPr>
        <w:pStyle w:val="ListBullet"/>
        <w:spacing w:line="240" w:lineRule="auto"/>
        <w:ind w:left="720"/>
      </w:pPr>
      <w:r>
        <w:rPr>
          <w:lang w:val="zh_TW" w:bidi="zh_TW"/>
        </w:rPr>
      </w:r>
      <w:r>
        <w:rPr>
          <w:lang w:val="zh_TW" w:bidi="zh_TW"/>
        </w:rPr>
        <w:t>布魯斯是禁衛軍的總督（皇帝的精銳士兵的指揮官）。</w:t>
      </w:r>
    </w:p>
    <w:p>
      <w:pPr>
        <w:pStyle w:val="ListBullet"/>
        <w:spacing w:line="240" w:lineRule="auto"/>
        <w:ind w:left="720"/>
      </w:pPr>
      <w:r>
        <w:rPr>
          <w:lang w:val="zh_TW" w:bidi="zh_TW"/>
        </w:rPr>
      </w:r>
      <w:r>
        <w:rPr>
          <w:lang w:val="zh_TW" w:bidi="zh_TW"/>
        </w:rPr>
        <w:t>塞內卡是著名的哲學家，遵循斯多亞學派的哲學，一種強調理性、自制和美德的哲學。</w:t>
      </w:r>
    </w:p>
    <w:p>
      <w:pPr/>
      <w:r>
        <w:rPr>
          <w:lang w:val="zh_TW" w:bidi="zh_TW"/>
        </w:rPr>
      </w:r>
      <w:r>
        <w:rPr>
          <w:lang w:val="zh_TW" w:bidi="zh_TW"/>
        </w:rPr>
        <w:t>保羅在公元57年左右寫信給羅馬的教會，敦促他們「順服掌權者」，因為他們是「神</w:t>
      </w:r>
      <w:r>
        <w:rPr>
          <w:lang w:val="zh_TW" w:bidi="zh_TW"/>
        </w:rPr>
        <w:t>所命</w:t>
      </w:r>
      <w:r>
        <w:rPr>
          <w:lang w:val="zh_TW" w:bidi="zh_TW"/>
        </w:rPr>
        <w:t>的」（</w:t>
      </w:r>
      <w:r>
        <w:rPr>
          <w:lang w:val="zh_TW" w:bidi="zh_TW"/>
        </w:rPr>
        <w:t>羅13:1</w:t>
      </w:r>
      <w:r>
        <w:rPr>
          <w:lang w:val="zh_TW" w:bidi="zh_TW"/>
        </w:rPr>
        <w:t>）。到那個時候，尼祿的不道德行為已廣為人知。</w:t>
      </w:r>
    </w:p>
    <w:p>
      <w:pPr/>
      <w:r>
        <w:rPr>
          <w:lang w:val="zh_TW" w:bidi="zh_TW"/>
        </w:rPr>
      </w:r>
      <w:r>
        <w:rPr>
          <w:lang w:val="zh_TW" w:bidi="zh_TW"/>
        </w:rPr>
        <w:t>尼祿最糟糕的行為發生在公元59年（同年保羅向凱撒上訴，</w:t>
      </w:r>
      <w:r>
        <w:rPr>
          <w:lang w:val="zh_TW" w:bidi="zh_TW"/>
        </w:rPr>
        <w:t>徒25:11</w:t>
      </w:r>
      <w:r>
        <w:rPr>
          <w:lang w:val="zh_TW" w:bidi="zh_TW"/>
        </w:rPr>
        <w:t>），在他安排謀殺他的母親之後。公元62年，他流放並處決他的妻子，與他的情人結婚，並迫使布魯斯和塞內卡退任。公元64年，一場大火摧毀了羅馬大部分地區。當時，尼祿不在城市，但許多人相信是他親自縱火的傳言。尼祿指責基督徒，控告他們犯下罪行。人們認為基督徒對社會懷有敵意，應受懲罰，即使很少有人相信他們引發大火。他們被「定罪，更多是因為仇恨人類的罪，而不是縱火的罪」（塔西佗，編年史15.44）。羅馬對基督徒的逼迫非常嚴重；彼得和保羅很可能在這段時間內在羅馬被處決。</w:t>
      </w:r>
    </w:p>
    <w:p>
      <w:pPr/>
      <w:r>
        <w:rPr>
          <w:lang w:val="zh_TW" w:bidi="zh_TW"/>
        </w:rPr>
      </w:r>
      <w:r>
        <w:rPr>
          <w:lang w:val="zh_TW" w:bidi="zh_TW"/>
        </w:rPr>
        <w:t>公元66年，一場猶太人的起義在凱撒利亞爆發。尼祿派遣他的將軍維斯帕先去鎮壓叛亂。尼祿對治理國家的興趣不大，他花了兩年時間在希臘表演。他將治理工作交給一位羅馬總督。當他返回羅馬時，法國、西班牙和非洲的總督們都反對他。結果，尼祿在公元68年自殺，並說：「隨我而逝的，是多麼偉大的藝術家！」他是猶流凱撒家族中最後一位，也是最糟糕的皇帝。（另見啟示錄</w:t>
      </w:r>
      <w:r>
        <w:rPr>
          <w:lang w:val="zh_TW" w:bidi="zh_TW"/>
        </w:rPr>
        <w:t>13:3</w:t>
      </w:r>
      <w:r>
        <w:rPr>
          <w:lang w:val="zh_TW" w:bidi="zh_TW"/>
        </w:rPr>
        <w:t>、</w:t>
      </w:r>
      <w:r>
        <w:rPr>
          <w:lang w:val="zh_TW" w:bidi="zh_TW"/>
        </w:rPr>
        <w:t>11</w:t>
      </w:r>
      <w:r>
        <w:rPr>
          <w:lang w:val="zh_TW" w:bidi="zh_TW"/>
        </w:rPr>
        <w:t>、</w:t>
      </w:r>
      <w:r>
        <w:rPr>
          <w:lang w:val="zh_TW" w:bidi="zh_TW"/>
        </w:rPr>
        <w:t>18</w:t>
      </w:r>
      <w:r>
        <w:rPr>
          <w:lang w:val="zh_TW" w:bidi="zh_TW"/>
        </w:rPr>
        <w:t>，</w:t>
      </w:r>
      <w:r>
        <w:rPr>
          <w:lang w:val="zh_TW" w:bidi="zh_TW"/>
        </w:rPr>
        <w:t>17:8</w:t>
      </w:r>
      <w:r>
        <w:rPr>
          <w:lang w:val="zh_TW" w:bidi="zh_TW"/>
        </w:rPr>
        <w:t>、</w:t>
      </w:r>
      <w:r>
        <w:rPr>
          <w:lang w:val="zh_TW" w:bidi="zh_TW"/>
        </w:rPr>
        <w:t>10–11</w:t>
      </w:r>
      <w:r>
        <w:rPr>
          <w:lang w:val="zh_TW" w:bidi="zh_TW"/>
        </w:rPr>
        <w:t>的研讀註釋。）</w:t>
      </w:r>
    </w:p>
    <w:p>
      <w:pPr/>
      <w:r>
        <w:rPr>
          <w:lang w:val="zh_TW" w:bidi="zh_TW"/>
        </w:rPr>
      </w:r>
      <w:r>
        <w:rPr>
          <w:u w:val="single"/>
          <w:lang w:val="zh_TW" w:bidi="zh_TW"/>
        </w:rPr>
        <w:t>進深研究的經文段落</w:t>
      </w:r>
    </w:p>
    <w:p>
      <w:pPr/>
      <w:r>
        <w:rPr>
          <w:lang w:val="zh_TW" w:bidi="zh_TW"/>
        </w:rPr>
      </w:r>
      <w:r>
        <w:rPr>
          <w:lang w:val="zh_TW" w:bidi="zh_TW"/>
        </w:rPr>
        <w:t>羅13:1–7</w:t>
      </w:r>
      <w:r>
        <w:rPr>
          <w:lang w:val="zh_TW" w:bidi="zh_TW"/>
        </w:rPr>
      </w:r>
      <w:r>
        <w:rPr>
          <w:lang w:val="zh_TW" w:bidi="zh_TW"/>
        </w:rPr>
      </w:r>
    </w:p>
    <w:p>
      <w:pPr/>
      <w:r>
        <w:rPr>
          <w:lang w:val="zh_TW" w:bidi="zh_TW"/>
        </w:rPr>
      </w:r>
    </w:p>
    <w:p>
      <w:pPr>
        <w:pStyle w:val="Heading2"/>
      </w:pPr>
      <w:r>
        <w:rPr>
          <w:lang w:val="zh_TW" w:bidi="zh_TW"/>
        </w:rPr>
        <w:t>尼希米</w:t>
      </w:r>
      <w:r>
        <w:rPr>
          <w:lang w:val="zh_TW" w:bidi="zh_TW"/>
        </w:rPr>
      </w:r>
    </w:p>
    <w:p>
      <w:pPr/>
      <w:r>
        <w:rPr>
          <w:lang w:val="zh_TW" w:bidi="zh_TW"/>
        </w:rPr>
      </w:r>
      <w:r>
        <w:rPr>
          <w:lang w:val="zh_TW" w:bidi="zh_TW"/>
        </w:rPr>
        <w:t>尼希米是神的百姓被擄巴比倫之後，在猶大地區的一位強力領袖。他在困難時期鼓勵並堅固神的百姓。</w:t>
      </w:r>
    </w:p>
    <w:p>
      <w:pPr/>
      <w:r>
        <w:rPr>
          <w:lang w:val="zh_TW" w:bidi="zh_TW"/>
        </w:rPr>
      </w:r>
      <w:r>
        <w:rPr>
          <w:lang w:val="zh_TW" w:bidi="zh_TW"/>
        </w:rPr>
        <w:t>尼希米返回猶大之前，擔任波斯王亞達薛西一世的酒政。亞達薛西一世在公元前465年到424年在位。酒政負責品嚐酒，確保酒沒有被下毒，然後將酒遞給王。他是一位受信任的臣宰。尼希米聽說耶路撒冷的惡劣情況後，心中悲哀；他向王請求獲准返回猶大，以幫助他的族人。王表示同意，並任命他為猶大總督，為期十二年，以幫助他的猶大同胞，並重建耶路撒冷的城牆（</w:t>
      </w:r>
      <w:r>
        <w:rPr>
          <w:lang w:val="zh_TW" w:bidi="zh_TW"/>
        </w:rPr>
        <w:t>尼1:1–2:8</w:t>
      </w:r>
      <w:r>
        <w:rPr>
          <w:lang w:val="zh_TW" w:bidi="zh_TW"/>
        </w:rPr>
        <w:t>）。</w:t>
      </w:r>
    </w:p>
    <w:p>
      <w:pPr/>
      <w:r>
        <w:rPr>
          <w:lang w:val="zh_TW" w:bidi="zh_TW"/>
        </w:rPr>
      </w:r>
      <w:r>
        <w:rPr>
          <w:lang w:val="zh_TW" w:bidi="zh_TW"/>
        </w:rPr>
        <w:t>尼希米得到波斯王的支持，但他面臨當地人的反對。反對者的血統混雜，是新約聖經中撒瑪利亞人的祖先。尼希米展現了極大的勇氣和技巧，幫助猶大的百姓重建保護耶路撒冷的城牆。</w:t>
      </w:r>
    </w:p>
    <w:p>
      <w:pPr/>
      <w:r>
        <w:rPr>
          <w:lang w:val="zh_TW" w:bidi="zh_TW"/>
        </w:rPr>
      </w:r>
      <w:r>
        <w:rPr>
          <w:lang w:val="zh_TW" w:bidi="zh_TW"/>
        </w:rPr>
        <w:t>尼希米有堅定的信心，從他的禱告及他信靠神的指引和幫助可以看出（</w:t>
      </w:r>
      <w:r>
        <w:rPr>
          <w:lang w:val="zh_TW" w:bidi="zh_TW"/>
        </w:rPr>
        <w:t>尼1:4–11</w:t>
      </w:r>
      <w:r>
        <w:rPr>
          <w:lang w:val="zh_TW" w:bidi="zh_TW"/>
        </w:rPr>
        <w:t>，</w:t>
      </w:r>
      <w:r>
        <w:rPr>
          <w:lang w:val="zh_TW" w:bidi="zh_TW"/>
        </w:rPr>
        <w:t>2:4</w:t>
      </w:r>
      <w:r>
        <w:rPr>
          <w:lang w:val="zh_TW" w:bidi="zh_TW"/>
        </w:rPr>
        <w:t>、</w:t>
      </w:r>
      <w:r>
        <w:rPr>
          <w:lang w:val="zh_TW" w:bidi="zh_TW"/>
        </w:rPr>
        <w:t>8</w:t>
      </w:r>
      <w:r>
        <w:rPr>
          <w:lang w:val="zh_TW" w:bidi="zh_TW"/>
        </w:rPr>
        <w:t>、</w:t>
      </w:r>
      <w:r>
        <w:rPr>
          <w:lang w:val="zh_TW" w:bidi="zh_TW"/>
        </w:rPr>
        <w:t>18</w:t>
      </w:r>
      <w:r>
        <w:rPr>
          <w:lang w:val="zh_TW" w:bidi="zh_TW"/>
        </w:rPr>
        <w:t>、</w:t>
      </w:r>
      <w:r>
        <w:rPr>
          <w:lang w:val="zh_TW" w:bidi="zh_TW"/>
        </w:rPr>
        <w:t>20</w:t>
      </w:r>
      <w:r>
        <w:rPr>
          <w:lang w:val="zh_TW" w:bidi="zh_TW"/>
        </w:rPr>
        <w:t>）。他也支持經濟方面的公義。他批評富有的猶大人利用糧食短缺的情況，向較貧窮的親族收取高額利息。他樹立了更好行為的榜樣（</w:t>
      </w:r>
      <w:r>
        <w:rPr>
          <w:lang w:val="zh_TW" w:bidi="zh_TW"/>
        </w:rPr>
        <w:t>尼5</w:t>
      </w:r>
      <w:r>
        <w:rPr>
          <w:lang w:val="zh_TW" w:bidi="zh_TW"/>
        </w:rPr>
        <w:t>）。</w:t>
      </w:r>
    </w:p>
    <w:p>
      <w:pPr/>
      <w:r>
        <w:rPr>
          <w:lang w:val="zh_TW" w:bidi="zh_TW"/>
        </w:rPr>
      </w:r>
      <w:r>
        <w:rPr>
          <w:lang w:val="zh_TW" w:bidi="zh_TW"/>
        </w:rPr>
        <w:t>尼希米非常關心百姓的信仰。他親自挑戰那些娶了非猶大女子的弟兄（</w:t>
      </w:r>
      <w:r>
        <w:rPr>
          <w:lang w:val="zh_TW" w:bidi="zh_TW"/>
        </w:rPr>
        <w:t>尼13:23–29</w:t>
      </w:r>
      <w:r>
        <w:rPr>
          <w:lang w:val="zh_TW" w:bidi="zh_TW"/>
        </w:rPr>
        <w:t>）。他又致力於維護聖殿敬拜，曾帶領猶大百姓承諾，支持在聖殿供職的人並奉獻祭物（</w:t>
      </w:r>
      <w:r>
        <w:rPr>
          <w:lang w:val="zh_TW" w:bidi="zh_TW"/>
        </w:rPr>
        <w:t>尼10:32–39</w:t>
      </w:r>
      <w:r>
        <w:rPr>
          <w:lang w:val="zh_TW" w:bidi="zh_TW"/>
        </w:rPr>
        <w:t>）。他也改善百姓遵守安息日的情況（</w:t>
      </w:r>
      <w:r>
        <w:rPr>
          <w:lang w:val="zh_TW" w:bidi="zh_TW"/>
        </w:rPr>
        <w:t>尼13:15–22</w:t>
      </w:r>
      <w:r>
        <w:rPr>
          <w:lang w:val="zh_TW" w:bidi="zh_TW"/>
        </w:rPr>
        <w:t>）。</w:t>
      </w:r>
    </w:p>
    <w:p>
      <w:pPr/>
      <w:r>
        <w:rPr>
          <w:lang w:val="zh_TW" w:bidi="zh_TW"/>
        </w:rPr>
      </w:r>
      <w:r>
        <w:rPr>
          <w:lang w:val="zh_TW" w:bidi="zh_TW"/>
        </w:rPr>
        <w:t>雖然耶路撒冷的問題，在他的末期仍然存在（見</w:t>
      </w:r>
      <w:r>
        <w:rPr>
          <w:lang w:val="zh_TW" w:bidi="zh_TW"/>
        </w:rPr>
        <w:t>尼13</w:t>
      </w:r>
      <w:r>
        <w:rPr>
          <w:lang w:val="zh_TW" w:bidi="zh_TW"/>
        </w:rPr>
        <w:t>），但尼希米是一位強力的領袖。他幫助猶大的居住者在政治和經濟弱勢時期，重新獲得他們的民族和宗教身份。</w:t>
      </w:r>
    </w:p>
    <w:p>
      <w:pPr/>
      <w:r>
        <w:rPr>
          <w:lang w:val="zh_TW" w:bidi="zh_TW"/>
        </w:rPr>
      </w:r>
      <w:r>
        <w:rPr>
          <w:u w:val="single"/>
          <w:lang w:val="zh_TW" w:bidi="zh_TW"/>
        </w:rPr>
        <w:t>進深研究的經文段落</w:t>
      </w:r>
    </w:p>
    <w:p>
      <w:pPr/>
      <w:r>
        <w:rPr>
          <w:lang w:val="zh_TW" w:bidi="zh_TW"/>
        </w:rPr>
      </w:r>
      <w:r>
        <w:rPr>
          <w:lang w:val="zh_TW" w:bidi="zh_TW"/>
        </w:rPr>
        <w:t>尼1:1–7:73</w:t>
      </w:r>
      <w:r>
        <w:rPr>
          <w:lang w:val="zh_TW" w:bidi="zh_TW"/>
        </w:rPr>
        <w:t>，</w:t>
      </w:r>
      <w:r>
        <w:rPr>
          <w:lang w:val="zh_TW" w:bidi="zh_TW"/>
        </w:rPr>
        <w:t>8:9–10</w:t>
      </w:r>
      <w:r>
        <w:rPr>
          <w:lang w:val="zh_TW" w:bidi="zh_TW"/>
        </w:rPr>
        <w:t>，</w:t>
      </w:r>
      <w:r>
        <w:rPr>
          <w:lang w:val="zh_TW" w:bidi="zh_TW"/>
        </w:rPr>
        <w:t>10:1–13:31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