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i/>
          <w:lang w:val="ar_AE" w:bidi="ar_AE"/>
        </w:rPr>
        <w:t>الضربات, ضد المسيح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w:t>
      </w:r>
      <w:r>
        <w:rPr>
          <w:lang w:val="ar_AE" w:bidi="ar_AE"/>
        </w:rPr>
      </w:r>
    </w:p>
    <w:p>
      <w:pPr>
        <w:bidi/>
      </w:pPr>
      <w:r>
        <w:rPr>
          <w:lang w:val="ar_AE" w:bidi="ar_AE"/>
        </w:rPr>
      </w:r>
      <w:r>
        <w:rPr>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lang w:val="ar_AE" w:bidi="ar_AE"/>
        </w:rPr>
      </w:r>
      <w:r>
        <w:rPr>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hyperlink r:id="rId13">
        <w:r>
          <w:rPr>
            <w:lang w:val="ar_AE" w:bidi="ar_AE"/>
          </w:rPr>
          <w:rPr>
            <w:color w:val="0000EE"/>
            <w:u w:val="single"/>
          </w:rPr>
          <w:t>خروج 32</w:t>
        </w:r>
      </w:hyperlink>
      <w:r>
        <w:rPr>
          <w:lang w:val="ar_AE" w:bidi="ar_AE"/>
        </w:rPr>
        <w:t>).</w:t>
      </w:r>
    </w:p>
    <w:p>
      <w:pPr>
        <w:bidi/>
      </w:pPr>
      <w:r>
        <w:rPr>
          <w:lang w:val="ar_AE" w:bidi="ar_AE"/>
        </w:rPr>
      </w:r>
      <w:r>
        <w:rPr>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lang w:val="ar_AE" w:bidi="ar_AE"/>
        </w:rPr>
      </w:r>
      <w:r>
        <w:rPr>
          <w:lang w:val="ar_AE" w:bidi="ar_AE"/>
        </w:rPr>
        <w:t>تحوُّل مياه نهر النيل إلى دم (</w:t>
      </w:r>
      <w:hyperlink r:id="rId14">
        <w:r>
          <w:rPr>
            <w:lang w:val="ar_AE" w:bidi="ar_AE"/>
          </w:rPr>
          <w:rPr>
            <w:color w:val="0000EE"/>
            <w:u w:val="single"/>
          </w:rPr>
          <w:t>7: 14–25</w:t>
        </w:r>
      </w:hyperlink>
      <w:r>
        <w:rPr>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lang w:val="ar_AE" w:bidi="ar_AE"/>
        </w:rPr>
      </w:r>
      <w:r>
        <w:rPr>
          <w:lang w:val="ar_AE" w:bidi="ar_AE"/>
        </w:rPr>
        <w:t>الضفادع (</w:t>
      </w:r>
      <w:hyperlink r:id="rId15">
        <w:r>
          <w:rPr>
            <w:lang w:val="ar_AE" w:bidi="ar_AE"/>
          </w:rPr>
          <w:rPr>
            <w:color w:val="0000EE"/>
            <w:u w:val="single"/>
          </w:rPr>
          <w:t>8: 1–15</w:t>
        </w:r>
      </w:hyperlink>
      <w:r>
        <w:rPr>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lang w:val="ar_AE" w:bidi="ar_AE"/>
        </w:rPr>
      </w:r>
      <w:r>
        <w:rPr>
          <w:lang w:val="ar_AE" w:bidi="ar_AE"/>
        </w:rPr>
        <w:t>البعوض (</w:t>
      </w:r>
      <w:hyperlink r:id="rId16">
        <w:r>
          <w:rPr>
            <w:lang w:val="ar_AE" w:bidi="ar_AE"/>
          </w:rPr>
          <w:rPr>
            <w:color w:val="0000EE"/>
            <w:u w:val="single"/>
          </w:rPr>
          <w:t>8:16–19</w:t>
        </w:r>
      </w:hyperlink>
      <w:r>
        <w:rPr>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lang w:val="ar_AE" w:bidi="ar_AE"/>
        </w:rPr>
      </w:r>
      <w:r>
        <w:rPr>
          <w:lang w:val="ar_AE" w:bidi="ar_AE"/>
        </w:rPr>
        <w:t>الذبان (</w:t>
      </w:r>
      <w:hyperlink r:id="rId17">
        <w:r>
          <w:rPr>
            <w:lang w:val="ar_AE" w:bidi="ar_AE"/>
          </w:rPr>
          <w:rPr>
            <w:color w:val="0000EE"/>
            <w:u w:val="single"/>
          </w:rPr>
          <w:t>8: 20–32</w:t>
        </w:r>
      </w:hyperlink>
      <w:r>
        <w:rPr>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lang w:val="ar_AE" w:bidi="ar_AE"/>
        </w:rPr>
      </w:r>
      <w:r>
        <w:rPr>
          <w:lang w:val="ar_AE" w:bidi="ar_AE"/>
        </w:rPr>
        <w:t>موت المواشي</w:t>
      </w:r>
      <w:r>
        <w:rPr>
          <w:i/>
          <w:lang w:val="ar_AE" w:bidi="ar_AE"/>
        </w:rPr>
        <w:t xml:space="preserve"> </w:t>
      </w:r>
      <w:r>
        <w:rPr>
          <w:lang w:val="ar_AE" w:bidi="ar_AE"/>
        </w:rPr>
        <w:t>(</w:t>
      </w:r>
      <w:hyperlink r:id="rId18">
        <w:r>
          <w:rPr>
            <w:lang w:val="ar_AE" w:bidi="ar_AE"/>
          </w:rPr>
          <w:rPr>
            <w:color w:val="0000EE"/>
            <w:u w:val="single"/>
          </w:rPr>
          <w:t>9: 1–7</w:t>
        </w:r>
      </w:hyperlink>
      <w:r>
        <w:rPr>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lang w:val="ar_AE" w:bidi="ar_AE"/>
        </w:rPr>
      </w:r>
      <w:r>
        <w:rPr>
          <w:lang w:val="ar_AE" w:bidi="ar_AE"/>
        </w:rPr>
        <w:t>دمامل ببثور (</w:t>
      </w:r>
      <w:hyperlink r:id="rId19">
        <w:r>
          <w:rPr>
            <w:lang w:val="ar_AE" w:bidi="ar_AE"/>
          </w:rPr>
          <w:rPr>
            <w:color w:val="0000EE"/>
            <w:u w:val="single"/>
          </w:rPr>
          <w:t>9: 8–12</w:t>
        </w:r>
      </w:hyperlink>
      <w:r>
        <w:rPr>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lang w:val="ar_AE" w:bidi="ar_AE"/>
        </w:rPr>
      </w:r>
      <w:r>
        <w:rPr>
          <w:lang w:val="ar_AE" w:bidi="ar_AE"/>
        </w:rPr>
        <w:t>البَرَد (</w:t>
      </w:r>
      <w:hyperlink r:id="rId20">
        <w:r>
          <w:rPr>
            <w:lang w:val="ar_AE" w:bidi="ar_AE"/>
          </w:rPr>
          <w:rPr>
            <w:color w:val="0000EE"/>
            <w:u w:val="single"/>
          </w:rPr>
          <w:t>9: 13–35</w:t>
        </w:r>
      </w:hyperlink>
      <w:r>
        <w:rPr>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lang w:val="ar_AE" w:bidi="ar_AE"/>
        </w:rPr>
      </w:r>
      <w:r>
        <w:rPr>
          <w:lang w:val="ar_AE" w:bidi="ar_AE"/>
        </w:rPr>
        <w:t>الجراد (</w:t>
      </w:r>
      <w:hyperlink r:id="rId21">
        <w:r>
          <w:rPr>
            <w:lang w:val="ar_AE" w:bidi="ar_AE"/>
          </w:rPr>
          <w:rPr>
            <w:color w:val="0000EE"/>
            <w:u w:val="single"/>
          </w:rPr>
          <w:t>10: 1–20</w:t>
        </w:r>
      </w:hyperlink>
      <w:r>
        <w:rPr>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lang w:val="ar_AE" w:bidi="ar_AE"/>
        </w:rPr>
      </w:r>
      <w:r>
        <w:rPr>
          <w:lang w:val="ar_AE" w:bidi="ar_AE"/>
        </w:rPr>
        <w:t>الظلام (</w:t>
      </w:r>
      <w:hyperlink r:id="rId22">
        <w:r>
          <w:rPr>
            <w:lang w:val="ar_AE" w:bidi="ar_AE"/>
          </w:rPr>
          <w:rPr>
            <w:color w:val="0000EE"/>
            <w:u w:val="single"/>
          </w:rPr>
          <w:t>10: 21–29</w:t>
        </w:r>
      </w:hyperlink>
      <w:r>
        <w:rPr>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lang w:val="ar_AE" w:bidi="ar_AE"/>
        </w:rPr>
      </w:r>
      <w:r>
        <w:rPr>
          <w:lang w:val="ar_AE" w:bidi="ar_AE"/>
        </w:rPr>
        <w:t>موت الأبكار (</w:t>
      </w:r>
      <w:hyperlink r:id="rId23">
        <w:r>
          <w:rPr>
            <w:lang w:val="ar_AE" w:bidi="ar_AE"/>
          </w:rPr>
          <w:rPr>
            <w:color w:val="0000EE"/>
            <w:u w:val="single"/>
          </w:rPr>
          <w:t>11: 1–12: 30</w:t>
        </w:r>
      </w:hyperlink>
      <w:r>
        <w:rPr>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lang w:val="ar_AE" w:bidi="ar_AE"/>
        </w:rPr>
      </w:r>
      <w:r>
        <w:rPr>
          <w:lang w:val="ar_AE" w:bidi="ar_AE"/>
        </w:rPr>
        <w:t>أظهر الرب لكلٍّ من المصريين وبني إسرائيل أنه هو الإله الوحيد.</w:t>
      </w:r>
    </w:p>
    <w:p>
      <w:pPr>
        <w:bidi/>
      </w:pPr>
      <w:r>
        <w:rPr>
          <w:lang w:val="ar_AE" w:bidi="ar_AE"/>
        </w:rPr>
      </w:r>
      <w:r>
        <w:rPr>
          <w:lang w:val="ar_AE" w:bidi="ar_AE"/>
        </w:rPr>
        <w:t xml:space="preserve">تسمَّى الضربات في كثير من الأحيان "آيات"، وذلك على غرار معجزات يسوع (على سبيل المثال، </w:t>
      </w:r>
      <w:hyperlink r:id="rId24">
        <w:r>
          <w:rPr>
            <w:lang w:val="ar_AE" w:bidi="ar_AE"/>
          </w:rPr>
          <w:rPr>
            <w:color w:val="0000EE"/>
            <w:u w:val="single"/>
          </w:rPr>
          <w:t>خروج 7: 3؛</w:t>
        </w:r>
      </w:hyperlink>
      <w:r>
        <w:rPr>
          <w:lang w:val="ar_AE" w:bidi="ar_AE"/>
        </w:rPr>
        <w:t xml:space="preserve"> </w:t>
      </w:r>
      <w:hyperlink r:id="rId25">
        <w:r>
          <w:rPr>
            <w:lang w:val="ar_AE" w:bidi="ar_AE"/>
          </w:rPr>
          <w:rPr>
            <w:color w:val="0000EE"/>
            <w:u w:val="single"/>
          </w:rPr>
          <w:t>10: 1–2؛</w:t>
        </w:r>
      </w:hyperlink>
      <w:r>
        <w:rPr>
          <w:lang w:val="ar_AE" w:bidi="ar_AE"/>
        </w:rPr>
        <w:t xml:space="preserve"> </w:t>
      </w:r>
      <w:hyperlink r:id="rId26">
        <w:r>
          <w:rPr>
            <w:lang w:val="ar_AE" w:bidi="ar_AE"/>
          </w:rPr>
          <w:rPr>
            <w:color w:val="0000EE"/>
            <w:u w:val="single"/>
          </w:rPr>
          <w:t>يوحنا 2: 23؛</w:t>
        </w:r>
      </w:hyperlink>
      <w:r>
        <w:rPr>
          <w:lang w:val="ar_AE" w:bidi="ar_AE"/>
        </w:rPr>
        <w:t xml:space="preserve"> </w:t>
      </w:r>
      <w:hyperlink r:id="rId27">
        <w:r>
          <w:rPr>
            <w:lang w:val="ar_AE" w:bidi="ar_AE"/>
          </w:rPr>
          <w:rPr>
            <w:color w:val="0000EE"/>
            <w:u w:val="single"/>
          </w:rPr>
          <w:t>4: 48؛</w:t>
        </w:r>
      </w:hyperlink>
      <w:r>
        <w:rPr>
          <w:lang w:val="ar_AE" w:bidi="ar_AE"/>
        </w:rPr>
        <w:t xml:space="preserve"> </w:t>
      </w:r>
      <w:hyperlink r:id="rId28">
        <w:r>
          <w:rPr>
            <w:lang w:val="ar_AE" w:bidi="ar_AE"/>
          </w:rPr>
          <w:rPr>
            <w:color w:val="0000EE"/>
            <w:u w:val="single"/>
          </w:rPr>
          <w:t>12: 37</w:t>
        </w:r>
      </w:hyperlink>
      <w:r>
        <w:rPr>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lang w:val="ar_AE" w:bidi="ar_AE"/>
        </w:rPr>
      </w:r>
      <w:r>
        <w:rPr>
          <w:u w:val="single"/>
          <w:lang w:val="ar_AE" w:bidi="ar_AE"/>
        </w:rPr>
        <w:t>نصوص كتابية لمزيد من الدراسة</w:t>
      </w:r>
    </w:p>
    <w:p>
      <w:pPr>
        <w:bidi/>
      </w:pPr>
      <w:r>
        <w:rPr>
          <w:lang w:val="ar_AE" w:bidi="ar_AE"/>
        </w:rPr>
      </w:r>
      <w:hyperlink r:id="rId29">
        <w:r>
          <w:rPr>
            <w:lang w:val="ar_AE" w:bidi="ar_AE"/>
          </w:rPr>
          <w:rPr>
            <w:color w:val="0000EE"/>
            <w:u w:val="single"/>
          </w:rPr>
          <w:t>تكوين 12: 15–20؛ 20: 1–18؛ خروج 7: 3–5؛ 7: 14–11: 10؛ 12: 28–33؛ 32: 35؛ العدد 11: 33؛ 12: 1–15؛ 16: 43–50؛ 1ملوك 13: 4؛ 2ملوك 2: 24؛ 2أخبار الأيام 26: 16–21؛ أعمال الرسل 5: 1–11</w:t>
        </w:r>
      </w:hyperlink>
      <w:r>
        <w:rPr>
          <w:lang w:val="ar_AE" w:bidi="ar_AE"/>
        </w:rPr>
      </w:r>
      <w:r>
        <w:rPr>
          <w:lang w:val="ar_AE" w:bidi="ar_AE"/>
        </w:rPr>
      </w:r>
    </w:p>
    <w:p>
      <w:pPr>
        <w:bidi/>
      </w:pPr>
      <w:r>
        <w:rPr>
          <w:lang w:val="ar_AE" w:bidi="ar_AE"/>
        </w:rPr>
      </w:r>
    </w:p>
    <w:p>
      <w:pPr>
        <w:pStyle w:val="Heading2"/>
        <w:bidi/>
      </w:pPr>
      <w:r>
        <w:rPr>
          <w:lang w:val="ar_AE" w:bidi="ar_AE"/>
        </w:rPr>
        <w:t>ضد المسيح</w:t>
      </w:r>
      <w:r>
        <w:rPr>
          <w:lang w:val="ar_AE" w:bidi="ar_AE"/>
        </w:rPr>
      </w:r>
    </w:p>
    <w:p>
      <w:pPr>
        <w:bidi/>
      </w:pPr>
      <w:r>
        <w:rPr>
          <w:lang w:val="ar_AE" w:bidi="ar_AE"/>
        </w:rPr>
      </w:r>
      <w:r>
        <w:rPr>
          <w:lang w:val="ar_AE" w:bidi="ar_AE"/>
        </w:rPr>
        <w:t xml:space="preserve">يظهر مصطلح </w:t>
      </w:r>
      <w:r>
        <w:rPr>
          <w:i/>
          <w:lang w:val="ar_AE" w:bidi="ar_AE"/>
        </w:rPr>
        <w:t>ضد</w:t>
      </w:r>
      <w:r>
        <w:rPr>
          <w:lang w:val="ar_AE" w:bidi="ar_AE"/>
        </w:rPr>
        <w:t xml:space="preserve"> </w:t>
      </w:r>
      <w:r>
        <w:rPr>
          <w:i/>
          <w:lang w:val="ar_AE" w:bidi="ar_AE"/>
        </w:rPr>
        <w:t>المسيح</w:t>
      </w:r>
      <w:r>
        <w:rPr>
          <w:lang w:val="ar_AE" w:bidi="ar_AE"/>
        </w:rPr>
        <w:t xml:space="preserve"> في رسائل يوحنا الرسول فقط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4:3</w:t>
        </w:r>
      </w:hyperlink>
      <w:r>
        <w:rPr>
          <w:lang w:val="ar_AE" w:bidi="ar_AE"/>
        </w:rPr>
        <w:t xml:space="preserve">; </w:t>
      </w:r>
      <w:hyperlink r:id="rId33">
        <w:r>
          <w:rPr>
            <w:lang w:val="ar_AE" w:bidi="ar_AE"/>
          </w:rPr>
          <w:rPr>
            <w:color w:val="0000EE"/>
            <w:u w:val="single"/>
          </w:rPr>
          <w:t>2 يوحنا 1:7</w:t>
        </w:r>
      </w:hyperlink>
      <w:r>
        <w:rPr>
          <w:lang w:val="ar_AE" w:bidi="ar_AE"/>
        </w:rPr>
        <w:t>). كان يوحنا يؤمن أن العديد من أضداد المسيح سيظهرون عبر التاريخ (</w:t>
      </w:r>
      <w:hyperlink r:id="rId30">
        <w:r>
          <w:rPr>
            <w:lang w:val="ar_AE" w:bidi="ar_AE"/>
          </w:rPr>
          <w:rPr>
            <w:color w:val="0000EE"/>
            <w:u w:val="single"/>
          </w:rPr>
          <w:t>1 يوحنا 2:18</w:t>
        </w:r>
      </w:hyperlink>
      <w:r>
        <w:rPr>
          <w:lang w:val="ar_AE" w:bidi="ar_AE"/>
        </w:rPr>
        <w:t>). وسينكر أضداد المسيح هؤلاء أن الرب يسوع إله كامل وإنسان كامل في الوقت نفسه (</w:t>
      </w:r>
      <w:hyperlink r:id="rId31">
        <w:r>
          <w:rPr>
            <w:lang w:val="ar_AE" w:bidi="ar_AE"/>
          </w:rPr>
          <w:rPr>
            <w:color w:val="0000EE"/>
            <w:u w:val="single"/>
          </w:rPr>
          <w:t>1 يوحنا 2:22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w:t>
      </w:r>
    </w:p>
    <w:p>
      <w:pPr>
        <w:bidi/>
      </w:pPr>
      <w:r>
        <w:rPr>
          <w:lang w:val="ar_AE" w:bidi="ar_AE"/>
        </w:rPr>
      </w:r>
      <w:r>
        <w:rPr>
          <w:lang w:val="ar_AE" w:bidi="ar_AE"/>
        </w:rPr>
        <w:t>يذكر الرسول بولس "إنسان الخطية" الذي سيظهر في الأوقات الأخيرة لبدء تمرد ضد الله (</w:t>
      </w:r>
      <w:hyperlink r:id="rId35">
        <w:r>
          <w:rPr>
            <w:lang w:val="ar_AE" w:bidi="ar_AE"/>
          </w:rPr>
          <w:rPr>
            <w:color w:val="0000EE"/>
            <w:u w:val="single"/>
          </w:rPr>
          <w:t>2 تسالونيكي 2:1–12</w:t>
        </w:r>
      </w:hyperlink>
      <w:r>
        <w:rPr>
          <w:lang w:val="ar_AE" w:bidi="ar_AE"/>
        </w:rPr>
        <w:t>). هذا الشخص "</w:t>
      </w:r>
      <w:r>
        <w:rPr>
          <w:lang w:val="ar_AE" w:bidi="ar_AE"/>
        </w:rPr>
        <w:t>ٱلَّذِي مَجِيئُهُ بِعَمَلِ ٱلشَّيْطَانِ</w:t>
      </w:r>
      <w:r>
        <w:rPr>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lang w:val="ar_AE" w:bidi="ar_AE"/>
        </w:rPr>
      </w:r>
      <w:r>
        <w:rPr>
          <w:lang w:val="ar_AE" w:bidi="ar_AE"/>
        </w:rPr>
        <w:t xml:space="preserve">في </w:t>
      </w:r>
      <w:hyperlink r:id="rId36">
        <w:r>
          <w:rPr>
            <w:lang w:val="ar_AE" w:bidi="ar_AE"/>
          </w:rPr>
          <w:rPr>
            <w:color w:val="0000EE"/>
            <w:u w:val="single"/>
          </w:rPr>
          <w:t>رؤيا 13</w:t>
        </w:r>
      </w:hyperlink>
      <w:r>
        <w:rPr>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lang w:val="ar_AE" w:bidi="ar_AE"/>
        </w:rPr>
        <w:t>ملاحظة الدراسة على 17:8</w:t>
      </w:r>
      <w:r>
        <w:rPr>
          <w:lang w:val="ar_AE" w:bidi="ar_AE"/>
        </w:rPr>
        <w:t>). كانت عبادة الإمبراطور، التي أعلنت أن "قيصر هو الرب!"، ديانة زائفة تعارض إعلان أن يسوع المسيح هو الرب.</w:t>
      </w:r>
    </w:p>
    <w:p>
      <w:pPr>
        <w:bidi/>
      </w:pPr>
      <w:r>
        <w:rPr>
          <w:lang w:val="ar_AE" w:bidi="ar_AE"/>
        </w:rPr>
      </w:r>
      <w:r>
        <w:rPr>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lang w:val="ar_AE" w:bidi="ar_AE"/>
        </w:rPr>
      </w:r>
      <w:r>
        <w:rPr>
          <w:u w:val="single"/>
          <w:lang w:val="ar_AE" w:bidi="ar_AE"/>
        </w:rPr>
        <w:t>مقاطع لمزيد من الدراسة</w:t>
      </w:r>
    </w:p>
    <w:p>
      <w:pPr>
        <w:bidi/>
      </w:pPr>
      <w:r>
        <w:rPr>
          <w:lang w:val="ar_AE" w:bidi="ar_AE"/>
        </w:rPr>
      </w:r>
      <w:hyperlink r:id="rId37">
        <w:r>
          <w:rPr>
            <w:lang w:val="ar_AE" w:bidi="ar_AE"/>
          </w:rPr>
          <w:rPr>
            <w:color w:val="0000EE"/>
            <w:u w:val="single"/>
          </w:rPr>
          <w:t>2 تسالونيكي 2:3–10</w:t>
        </w:r>
      </w:hyperlink>
      <w:r>
        <w:rPr>
          <w:lang w:val="ar_AE" w:bidi="ar_AE"/>
        </w:rPr>
        <w:t xml:space="preserve">؛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 xml:space="preserve">؛ </w:t>
      </w:r>
      <w:hyperlink r:id="rId38">
        <w:r>
          <w:rPr>
            <w:lang w:val="ar_AE" w:bidi="ar_AE"/>
          </w:rPr>
          <w:rPr>
            <w:color w:val="0000EE"/>
            <w:u w:val="single"/>
          </w:rPr>
          <w:t>رؤيا 13:11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35" TargetMode="External"/><Relationship Id="rId14" Type="http://schemas.openxmlformats.org/officeDocument/2006/relationships/hyperlink" Target="https://ref.ly/Exod7:14-Exod7:25" TargetMode="External"/><Relationship Id="rId15" Type="http://schemas.openxmlformats.org/officeDocument/2006/relationships/hyperlink" Target="https://ref.ly/Exod8:1-Exod8:15" TargetMode="External"/><Relationship Id="rId16" Type="http://schemas.openxmlformats.org/officeDocument/2006/relationships/hyperlink" Target="https://ref.ly/Exod8:16-Exod8:19" TargetMode="External"/><Relationship Id="rId17" Type="http://schemas.openxmlformats.org/officeDocument/2006/relationships/hyperlink" Target="https://ref.ly/Exod8:20-Exod8:32" TargetMode="External"/><Relationship Id="rId18" Type="http://schemas.openxmlformats.org/officeDocument/2006/relationships/hyperlink" Target="https://ref.ly/Exod9:1-Exod9:7" TargetMode="External"/><Relationship Id="rId19" Type="http://schemas.openxmlformats.org/officeDocument/2006/relationships/hyperlink" Target="https://ref.ly/Exod9:8-Exod9:12" TargetMode="External"/><Relationship Id="rId20" Type="http://schemas.openxmlformats.org/officeDocument/2006/relationships/hyperlink" Target="https://ref.ly/Exod9:13-Exod9:35" TargetMode="External"/><Relationship Id="rId21" Type="http://schemas.openxmlformats.org/officeDocument/2006/relationships/hyperlink" Target="https://ref.ly/Exod10:1-Exod10:20" TargetMode="External"/><Relationship Id="rId22" Type="http://schemas.openxmlformats.org/officeDocument/2006/relationships/hyperlink" Target="https://ref.ly/Exod10:21-Exod10:29" TargetMode="External"/><Relationship Id="rId23" Type="http://schemas.openxmlformats.org/officeDocument/2006/relationships/hyperlink" Target="https://ref.ly/Exod11:1-Exod12:30" TargetMode="External"/><Relationship Id="rId24" Type="http://schemas.openxmlformats.org/officeDocument/2006/relationships/hyperlink" Target="https://ref.ly/Exod7:3" TargetMode="External"/><Relationship Id="rId25" Type="http://schemas.openxmlformats.org/officeDocument/2006/relationships/hyperlink" Target="https://ref.ly/Exod10:1-Exod10:2" TargetMode="External"/><Relationship Id="rId26" Type="http://schemas.openxmlformats.org/officeDocument/2006/relationships/hyperlink" Target="https://ref.ly/John2:23" TargetMode="External"/><Relationship Id="rId27" Type="http://schemas.openxmlformats.org/officeDocument/2006/relationships/hyperlink" Target="https://ref.ly/John4:48" TargetMode="External"/><Relationship Id="rId28" Type="http://schemas.openxmlformats.org/officeDocument/2006/relationships/hyperlink" Target="https://ref.ly/John12:37" TargetMode="External"/><Relationship Id="rId29" Type="http://schemas.openxmlformats.org/officeDocument/2006/relationships/hyperlink" Target="https://ref.ly/Gen12:15-Gen12:20" TargetMode="External"/><Relationship Id="rId30" Type="http://schemas.openxmlformats.org/officeDocument/2006/relationships/hyperlink" Target="https://ref.ly/1John2:18" TargetMode="External"/><Relationship Id="rId31" Type="http://schemas.openxmlformats.org/officeDocument/2006/relationships/hyperlink" Target="https://ref.ly/1John2:22" TargetMode="External"/><Relationship Id="rId32" Type="http://schemas.openxmlformats.org/officeDocument/2006/relationships/hyperlink" Target="https://ref.ly/1John4:3" TargetMode="External"/><Relationship Id="rId33" Type="http://schemas.openxmlformats.org/officeDocument/2006/relationships/hyperlink" Target="https://ref.ly/2John1:7" TargetMode="External"/><Relationship Id="rId34" Type="http://schemas.openxmlformats.org/officeDocument/2006/relationships/hyperlink" Target="https://ref.ly/1John4:2-1John4:3" TargetMode="External"/><Relationship Id="rId35" Type="http://schemas.openxmlformats.org/officeDocument/2006/relationships/hyperlink" Target="https://ref.ly/2Thess2:1-2Thess2:12" TargetMode="External"/><Relationship Id="rId36" Type="http://schemas.openxmlformats.org/officeDocument/2006/relationships/hyperlink" Target="https://ref.ly/Rev13:1-Rev13:18" TargetMode="External"/><Relationship Id="rId37" Type="http://schemas.openxmlformats.org/officeDocument/2006/relationships/hyperlink" Target="https://ref.ly/2Thess2:3-2Thess2:10" TargetMode="External"/><Relationship Id="rId38" Type="http://schemas.openxmlformats.org/officeDocument/2006/relationships/hyperlink" Target="https://ref.ly/Rev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