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Themes (Tyndale)</w:t>
      </w:r>
      <w:r>
        <w:rPr>
          <w:lang w:val="ru_RU" w:bidi="ru_RU"/>
        </w:rPr>
      </w:r>
    </w:p>
    <w:p>
      <w:pPr/>
      <w:r>
        <w:rPr>
          <w:lang w:val="ru_RU" w:bidi="ru_RU"/>
        </w:rPr>
      </w:r>
      <w:r>
        <w:rPr>
          <w:b/>
          <w:lang w:val="ru_RU" w:bidi="ru_RU"/>
        </w:rPr>
        <w:t>Aquifer Open Study Notes (Themes)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i/>
          <w:lang w:val="ru_RU" w:bidi="ru_RU"/>
        </w:rPr>
        <w:t>Полное уничтожение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Полное уничтожение</w:t>
      </w:r>
      <w:r>
        <w:rPr>
          <w:lang w:val="ru_RU" w:bidi="ru_RU"/>
        </w:rPr>
      </w:r>
    </w:p>
    <w:p>
      <w:pPr/>
      <w:r>
        <w:rPr>
          <w:lang w:val="ru_RU" w:bidi="ru_RU"/>
        </w:rPr>
      </w:r>
      <w:r>
        <w:rPr>
          <w:lang w:val="ru_RU" w:bidi="ru_RU"/>
        </w:rPr>
        <w:t xml:space="preserve">См. статью </w:t>
      </w:r>
      <w:r>
        <w:rPr>
          <w:i/>
          <w:lang w:val="ru_RU" w:bidi="ru_RU"/>
        </w:rPr>
        <w:t>Полное посвящение (заклятое)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