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ض</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الضربات</w:t>
      </w:r>
      <w:r>
        <w:rPr>
          <w:rtl/>
          <w:cs/>
          <w:lang w:val="ar_AE" w:bidi="ar_AE"/>
        </w:rPr>
      </w:r>
    </w:p>
    <w:p>
      <w:pPr>
        <w:bidi/>
      </w:pPr>
      <w:r>
        <w:rPr>
          <w:rtl/>
          <w:cs/>
          <w:lang w:val="ar_AE" w:bidi="ar_AE"/>
        </w:rPr>
      </w:r>
      <w:r>
        <w:rPr>
          <w:rtl/>
          <w:cs/>
          <w:lang w:val="ar_AE" w:bidi="ar_AE"/>
        </w:rPr>
        <w:t>لم يكن الغرض الرئيسي من الضربات التي أُوقِعت على أرض مصر هو إنقاذ الشعب العبراني من القمع المصري. فلو كان الإنقاذ هو الهدف، لكانت معجزة كبيرة واحدة كافية. لكن، كان الغرض من الضربات هو إظهار من هو الله لشعب إسرائيل، وشعب مصر، والأمم والشعوب المجاورة.</w:t>
      </w:r>
    </w:p>
    <w:p>
      <w:pPr>
        <w:bidi/>
      </w:pPr>
      <w:r>
        <w:rPr>
          <w:rtl/>
          <w:cs/>
          <w:lang w:val="ar_AE" w:bidi="ar_AE"/>
        </w:rPr>
      </w:r>
      <w:r>
        <w:rPr>
          <w:rtl/>
          <w:cs/>
          <w:lang w:val="ar_AE" w:bidi="ar_AE"/>
        </w:rPr>
        <w:t xml:space="preserve">على الأرجح، كان بنو إسرائيل قد نسوا من هو الله. فقد عاشوا مئات السنين في مصر، في مجتمع كان يعبد الكثير من الآلهة الزائفة. فكلُّ ما كان بنو إسرائيل يؤمنون به عن الله عندما ذهبوا أولًا إلى مصر تأثَّر بوجهات النظر الوثنية خلال مدة إقامتهم هناك (انظر </w:t>
      </w:r>
      <w:r>
        <w:rPr>
          <w:rtl/>
          <w:cs/>
          <w:lang w:val="ar_AE" w:bidi="ar_AE"/>
        </w:rPr>
        <w:t>خروج 32</w:t>
      </w:r>
      <w:r>
        <w:rPr>
          <w:rtl/>
          <w:cs/>
          <w:lang w:val="ar_AE" w:bidi="ar_AE"/>
        </w:rPr>
        <w:t>).</w:t>
      </w:r>
    </w:p>
    <w:p>
      <w:pPr>
        <w:bidi/>
      </w:pPr>
      <w:r>
        <w:rPr>
          <w:rtl/>
          <w:cs/>
          <w:lang w:val="ar_AE" w:bidi="ar_AE"/>
        </w:rPr>
      </w:r>
      <w:r>
        <w:rPr>
          <w:rtl/>
          <w:cs/>
          <w:lang w:val="ar_AE" w:bidi="ar_AE"/>
        </w:rPr>
        <w:t>أظهرت الضربات في سفر الخروج سلطان الرب الكامل على كلِّ الخليقة. استهدفت هذه الكوارث بعض العناصر التي كان المصريون يبجِّلونها ويعبدونها:</w:t>
      </w:r>
    </w:p>
    <w:p>
      <w:pPr>
        <w:pStyle w:val="ListNumber"/>
        <w:numPr>
          <w:ilvl w:val="0"/>
          <w:numId w:val="14"/>
        </w:numPr>
        <w:bidi/>
        <w:spacing w:line="240" w:lineRule="auto"/>
        <w:ind w:left="720"/>
      </w:pPr>
      <w:r>
        <w:rPr>
          <w:rtl/>
          <w:cs/>
          <w:lang w:val="ar_AE" w:bidi="ar_AE"/>
        </w:rPr>
      </w:r>
      <w:r>
        <w:rPr>
          <w:rtl/>
          <w:cs/>
          <w:lang w:val="ar_AE" w:bidi="ar_AE"/>
        </w:rPr>
        <w:t>تحوُّل مياه نهر النيل إلى دم (</w:t>
      </w:r>
      <w:r>
        <w:rPr>
          <w:rtl/>
          <w:cs/>
          <w:lang w:val="ar_AE" w:bidi="ar_AE"/>
        </w:rPr>
        <w:t>7: 14–25</w:t>
      </w:r>
      <w:r>
        <w:rPr>
          <w:rtl/>
          <w:cs/>
          <w:lang w:val="ar_AE" w:bidi="ar_AE"/>
        </w:rPr>
        <w:t>): فإن نهر النيل، الذي كان يُعتبَر إلهًا يوفر الحياة والخصوبة لأرض مصر، تحوَّل إلى رمزٍ للموت.</w:t>
      </w:r>
    </w:p>
    <w:p>
      <w:pPr>
        <w:pStyle w:val="ListNumber"/>
        <w:bidi/>
        <w:spacing w:line="240" w:lineRule="auto"/>
        <w:ind w:left="720"/>
      </w:pPr>
      <w:r>
        <w:rPr>
          <w:rtl/>
          <w:cs/>
          <w:lang w:val="ar_AE" w:bidi="ar_AE"/>
        </w:rPr>
      </w:r>
      <w:r>
        <w:rPr>
          <w:rtl/>
          <w:cs/>
          <w:lang w:val="ar_AE" w:bidi="ar_AE"/>
        </w:rPr>
        <w:t>الضفادع (</w:t>
      </w:r>
      <w:r>
        <w:rPr>
          <w:rtl/>
          <w:cs/>
          <w:lang w:val="ar_AE" w:bidi="ar_AE"/>
        </w:rPr>
        <w:t>8: 1–15</w:t>
      </w:r>
      <w:r>
        <w:rPr>
          <w:rtl/>
          <w:cs/>
          <w:lang w:val="ar_AE" w:bidi="ar_AE"/>
        </w:rPr>
        <w:t>): كان المصريون يبجِّلون الضفادع، الممثَّلة في الإلهة "هكت"، إلهة الخصوبة التي كان لها رأس ضفدعة. وكانوا يعتقدون أنها تمتلك سرَّ الحياة ما بعد الموت. لكن الآن، غطَّت الضفادع الأرض، جالبة معها رائحة الموت.</w:t>
      </w:r>
    </w:p>
    <w:p>
      <w:pPr>
        <w:pStyle w:val="ListNumber"/>
        <w:bidi/>
        <w:spacing w:line="240" w:lineRule="auto"/>
        <w:ind w:left="720"/>
      </w:pPr>
      <w:r>
        <w:rPr>
          <w:rtl/>
          <w:cs/>
          <w:lang w:val="ar_AE" w:bidi="ar_AE"/>
        </w:rPr>
      </w:r>
      <w:r>
        <w:rPr>
          <w:rtl/>
          <w:cs/>
          <w:lang w:val="ar_AE" w:bidi="ar_AE"/>
        </w:rPr>
        <w:t>البعوض (</w:t>
      </w:r>
      <w:r>
        <w:rPr>
          <w:rtl/>
          <w:cs/>
          <w:lang w:val="ar_AE" w:bidi="ar_AE"/>
        </w:rPr>
        <w:t>8:16–19</w:t>
      </w:r>
      <w:r>
        <w:rPr>
          <w:rtl/>
          <w:cs/>
          <w:lang w:val="ar_AE" w:bidi="ar_AE"/>
        </w:rPr>
        <w:t>): أوقع "أصبع الله" ضربةً من الحشرات القارصة من تراب الأرض. أظهر ذلك سلطان الله على "جب"، إله المصريين المسؤول عن الأرض.</w:t>
      </w:r>
    </w:p>
    <w:p>
      <w:pPr>
        <w:pStyle w:val="ListNumber"/>
        <w:bidi/>
        <w:spacing w:line="240" w:lineRule="auto"/>
        <w:ind w:left="720"/>
      </w:pPr>
      <w:r>
        <w:rPr>
          <w:rtl/>
          <w:cs/>
          <w:lang w:val="ar_AE" w:bidi="ar_AE"/>
        </w:rPr>
      </w:r>
      <w:r>
        <w:rPr>
          <w:rtl/>
          <w:cs/>
          <w:lang w:val="ar_AE" w:bidi="ar_AE"/>
        </w:rPr>
        <w:t>الذبان (</w:t>
      </w:r>
      <w:r>
        <w:rPr>
          <w:rtl/>
          <w:cs/>
          <w:lang w:val="ar_AE" w:bidi="ar_AE"/>
        </w:rPr>
        <w:t>8: 20–32</w:t>
      </w:r>
      <w:r>
        <w:rPr>
          <w:rtl/>
          <w:cs/>
          <w:lang w:val="ar_AE" w:bidi="ar_AE"/>
        </w:rPr>
        <w:t>): أظهر الرب في هذه الضربة تمييزًا واضحًا بين إسرائيل ومصر. فقد ملأت أسراب من الذبان القارص الأرض، وعذَّبت المصريين، بمن في ذلك فرعون نفسه أيضًا. وقد كان المصريون يبجلون الذبان باعتباره رمزًا للحياة من الموت.</w:t>
      </w:r>
    </w:p>
    <w:p>
      <w:pPr>
        <w:pStyle w:val="ListNumber"/>
        <w:bidi/>
        <w:spacing w:line="240" w:lineRule="auto"/>
        <w:ind w:left="720"/>
      </w:pPr>
      <w:r>
        <w:rPr>
          <w:rtl/>
          <w:cs/>
          <w:lang w:val="ar_AE" w:bidi="ar_AE"/>
        </w:rPr>
      </w:r>
      <w:r>
        <w:rPr>
          <w:rtl/>
          <w:cs/>
          <w:lang w:val="ar_AE" w:bidi="ar_AE"/>
        </w:rPr>
        <w:t>موت المواشي</w:t>
      </w:r>
      <w:r>
        <w:rPr>
          <w:i/>
          <w:rtl/>
          <w:cs/>
          <w:lang w:val="ar_AE" w:bidi="ar_AE"/>
        </w:rPr>
        <w:t xml:space="preserve"> </w:t>
      </w:r>
      <w:r>
        <w:rPr>
          <w:rtl/>
          <w:cs/>
          <w:lang w:val="ar_AE" w:bidi="ar_AE"/>
        </w:rPr>
        <w:t>(</w:t>
      </w:r>
      <w:r>
        <w:rPr>
          <w:rtl/>
          <w:cs/>
          <w:lang w:val="ar_AE" w:bidi="ar_AE"/>
        </w:rPr>
        <w:t>9: 1–7</w:t>
      </w:r>
      <w:r>
        <w:rPr>
          <w:rtl/>
          <w:cs/>
          <w:lang w:val="ar_AE" w:bidi="ar_AE"/>
        </w:rPr>
        <w:t>): كان المصريون يحسبون المواشي مقدَّسة، ويؤمنون بأنها تتحكم في الحياة والخصوبة. وقد صوَّروا الإله "آمون رع"، كبير الآلهة في مصر، على شكل ثور. لكن، ضربت "يد الرب" المواشي، ممَّا أظهر سلطانه الفائق.</w:t>
      </w:r>
    </w:p>
    <w:p>
      <w:pPr>
        <w:pStyle w:val="ListNumber"/>
        <w:bidi/>
        <w:spacing w:line="240" w:lineRule="auto"/>
        <w:ind w:left="720"/>
      </w:pPr>
      <w:r>
        <w:rPr>
          <w:rtl/>
          <w:cs/>
          <w:lang w:val="ar_AE" w:bidi="ar_AE"/>
        </w:rPr>
      </w:r>
      <w:r>
        <w:rPr>
          <w:rtl/>
          <w:cs/>
          <w:lang w:val="ar_AE" w:bidi="ar_AE"/>
        </w:rPr>
        <w:t>دمامل ببثور (</w:t>
      </w:r>
      <w:r>
        <w:rPr>
          <w:rtl/>
          <w:cs/>
          <w:lang w:val="ar_AE" w:bidi="ar_AE"/>
        </w:rPr>
        <w:t>9: 8–12</w:t>
      </w:r>
      <w:r>
        <w:rPr>
          <w:rtl/>
          <w:cs/>
          <w:lang w:val="ar_AE" w:bidi="ar_AE"/>
        </w:rPr>
        <w:t>): ضرب الله المصريين بقروح مؤلمة. ولم تتمكَّن الإلهة "سخمت"، إلهة الشفاء لدى المصريين من مساعدتهم.</w:t>
      </w:r>
    </w:p>
    <w:p>
      <w:pPr>
        <w:pStyle w:val="ListNumber"/>
        <w:bidi/>
        <w:spacing w:line="240" w:lineRule="auto"/>
        <w:ind w:left="720"/>
      </w:pPr>
      <w:r>
        <w:rPr>
          <w:rtl/>
          <w:cs/>
          <w:lang w:val="ar_AE" w:bidi="ar_AE"/>
        </w:rPr>
      </w:r>
      <w:r>
        <w:rPr>
          <w:rtl/>
          <w:cs/>
          <w:lang w:val="ar_AE" w:bidi="ar_AE"/>
        </w:rPr>
        <w:t>البَرَد (</w:t>
      </w:r>
      <w:r>
        <w:rPr>
          <w:rtl/>
          <w:cs/>
          <w:lang w:val="ar_AE" w:bidi="ar_AE"/>
        </w:rPr>
        <w:t>9: 13–35</w:t>
      </w:r>
      <w:r>
        <w:rPr>
          <w:rtl/>
          <w:cs/>
          <w:lang w:val="ar_AE" w:bidi="ar_AE"/>
        </w:rPr>
        <w:t>): لم يتمكَّن أوزوريس، إله المصريين، الذي كان يمثِّل النباتات، من منع الرب من إخرابها، لأن "للرب الأرض".</w:t>
      </w:r>
    </w:p>
    <w:p>
      <w:pPr>
        <w:pStyle w:val="ListNumber"/>
        <w:bidi/>
        <w:spacing w:line="240" w:lineRule="auto"/>
        <w:ind w:left="720"/>
      </w:pPr>
      <w:r>
        <w:rPr>
          <w:rtl/>
          <w:cs/>
          <w:lang w:val="ar_AE" w:bidi="ar_AE"/>
        </w:rPr>
      </w:r>
      <w:r>
        <w:rPr>
          <w:rtl/>
          <w:cs/>
          <w:lang w:val="ar_AE" w:bidi="ar_AE"/>
        </w:rPr>
        <w:t>الجراد (</w:t>
      </w:r>
      <w:r>
        <w:rPr>
          <w:rtl/>
          <w:cs/>
          <w:lang w:val="ar_AE" w:bidi="ar_AE"/>
        </w:rPr>
        <w:t>10: 1–20</w:t>
      </w:r>
      <w:r>
        <w:rPr>
          <w:rtl/>
          <w:cs/>
          <w:lang w:val="ar_AE" w:bidi="ar_AE"/>
        </w:rPr>
        <w:t>): أرسل الرب ريحًا شرقية لجلب الجراد، الذي قضى على النباتات المتبقية. وبذلك، تبدَّد أيُّ أمل في أن يتمكن أوزوريس من استعادة محاصيل مصر.</w:t>
      </w:r>
    </w:p>
    <w:p>
      <w:pPr>
        <w:pStyle w:val="ListNumber"/>
        <w:bidi/>
        <w:spacing w:line="240" w:lineRule="auto"/>
        <w:ind w:left="720"/>
      </w:pPr>
      <w:r>
        <w:rPr>
          <w:rtl/>
          <w:cs/>
          <w:lang w:val="ar_AE" w:bidi="ar_AE"/>
        </w:rPr>
      </w:r>
      <w:r>
        <w:rPr>
          <w:rtl/>
          <w:cs/>
          <w:lang w:val="ar_AE" w:bidi="ar_AE"/>
        </w:rPr>
        <w:t>الظلام (</w:t>
      </w:r>
      <w:r>
        <w:rPr>
          <w:rtl/>
          <w:cs/>
          <w:lang w:val="ar_AE" w:bidi="ar_AE"/>
        </w:rPr>
        <w:t>10: 21–29</w:t>
      </w:r>
      <w:r>
        <w:rPr>
          <w:rtl/>
          <w:cs/>
          <w:lang w:val="ar_AE" w:bidi="ar_AE"/>
        </w:rPr>
        <w:t>): أظهر الرب سيطرته الكاملة على "رع"، إله الشمس ورئيس الآلهة المصرية، الذي كان يُحسَب أبًا للجنس البشري. فلم تستطع أي قوة في مصر أن تقاوم الرب أو تحبط خططه.</w:t>
      </w:r>
    </w:p>
    <w:p>
      <w:pPr>
        <w:pStyle w:val="ListNumber"/>
        <w:bidi/>
        <w:spacing w:line="240" w:lineRule="auto"/>
        <w:ind w:left="720"/>
      </w:pPr>
      <w:r>
        <w:rPr>
          <w:rtl/>
          <w:cs/>
          <w:lang w:val="ar_AE" w:bidi="ar_AE"/>
        </w:rPr>
      </w:r>
      <w:r>
        <w:rPr>
          <w:rtl/>
          <w:cs/>
          <w:lang w:val="ar_AE" w:bidi="ar_AE"/>
        </w:rPr>
        <w:t>موت الأبكار (</w:t>
      </w:r>
      <w:r>
        <w:rPr>
          <w:rtl/>
          <w:cs/>
          <w:lang w:val="ar_AE" w:bidi="ar_AE"/>
        </w:rPr>
        <w:t>11: 1–12: 30</w:t>
      </w:r>
      <w:r>
        <w:rPr>
          <w:rtl/>
          <w:cs/>
          <w:lang w:val="ar_AE" w:bidi="ar_AE"/>
        </w:rPr>
        <w:t>): أخذ الرب حياة كل بكر ذكر في العائلات المصرية، أي الابن الذي كان المصريون يعتزون به للغاية. وفي غضون ذلك، خلَّص الرب إسرائيل بواسطة ذبيحة الفصح الدموية.</w:t>
      </w:r>
    </w:p>
    <w:p>
      <w:pPr>
        <w:bidi/>
      </w:pPr>
      <w:r>
        <w:rPr>
          <w:rtl/>
          <w:cs/>
          <w:lang w:val="ar_AE" w:bidi="ar_AE"/>
        </w:rPr>
      </w:r>
      <w:r>
        <w:rPr>
          <w:rtl/>
          <w:cs/>
          <w:lang w:val="ar_AE" w:bidi="ar_AE"/>
        </w:rPr>
        <w:t>أظهر الرب لكلٍّ من المصريين وبني إسرائيل أنه هو الإله الوحيد.</w:t>
      </w:r>
    </w:p>
    <w:p>
      <w:pPr>
        <w:bidi/>
      </w:pPr>
      <w:r>
        <w:rPr>
          <w:rtl/>
          <w:cs/>
          <w:lang w:val="ar_AE" w:bidi="ar_AE"/>
        </w:rPr>
      </w:r>
      <w:r>
        <w:rPr>
          <w:rtl/>
          <w:cs/>
          <w:lang w:val="ar_AE" w:bidi="ar_AE"/>
        </w:rPr>
        <w:t xml:space="preserve">تسمَّى الضربات في كثير من الأحيان "آيات"، وذلك على غرار معجزات يسوع (على سبيل المثال، </w:t>
      </w:r>
      <w:r>
        <w:rPr>
          <w:rtl/>
          <w:cs/>
          <w:lang w:val="ar_AE" w:bidi="ar_AE"/>
        </w:rPr>
        <w:t>خروج 7: 3؛</w:t>
      </w:r>
      <w:r>
        <w:rPr>
          <w:rtl/>
          <w:cs/>
          <w:lang w:val="ar_AE" w:bidi="ar_AE"/>
        </w:rPr>
        <w:t xml:space="preserve"> </w:t>
      </w:r>
      <w:r>
        <w:rPr>
          <w:rtl/>
          <w:cs/>
          <w:lang w:val="ar_AE" w:bidi="ar_AE"/>
        </w:rPr>
        <w:t>10: 1–2؛</w:t>
      </w:r>
      <w:r>
        <w:rPr>
          <w:rtl/>
          <w:cs/>
          <w:lang w:val="ar_AE" w:bidi="ar_AE"/>
        </w:rPr>
        <w:t xml:space="preserve"> </w:t>
      </w:r>
      <w:r>
        <w:rPr>
          <w:rtl/>
          <w:cs/>
          <w:lang w:val="ar_AE" w:bidi="ar_AE"/>
        </w:rPr>
        <w:t>يوحنا 2: 23؛</w:t>
      </w:r>
      <w:r>
        <w:rPr>
          <w:rtl/>
          <w:cs/>
          <w:lang w:val="ar_AE" w:bidi="ar_AE"/>
        </w:rPr>
        <w:t xml:space="preserve"> </w:t>
      </w:r>
      <w:r>
        <w:rPr>
          <w:rtl/>
          <w:cs/>
          <w:lang w:val="ar_AE" w:bidi="ar_AE"/>
        </w:rPr>
        <w:t>4: 48؛</w:t>
      </w:r>
      <w:r>
        <w:rPr>
          <w:rtl/>
          <w:cs/>
          <w:lang w:val="ar_AE" w:bidi="ar_AE"/>
        </w:rPr>
        <w:t xml:space="preserve"> </w:t>
      </w:r>
      <w:r>
        <w:rPr>
          <w:rtl/>
          <w:cs/>
          <w:lang w:val="ar_AE" w:bidi="ar_AE"/>
        </w:rPr>
        <w:t>12: 37</w:t>
      </w:r>
      <w:r>
        <w:rPr>
          <w:rtl/>
          <w:cs/>
          <w:lang w:val="ar_AE" w:bidi="ar_AE"/>
        </w:rPr>
        <w:t>). تُظهر هذه الضربات أن عبادة الأشياء المخلوقة تجلب دينونة الله. وفي المقابل، تُظهر معجزات يسوع أن الله قادر على التغلب على كل الجوانب المميتة في الخليقة، وهو ما يشمل المرض، والقوى الشريرة، والطبيعة التي لا يمكن التنبؤ بها، بل والموت أيضًا، من خلال هبة الحياة.</w:t>
      </w:r>
    </w:p>
    <w:p>
      <w:pPr>
        <w:bidi/>
      </w:pPr>
      <w:r>
        <w:rPr>
          <w:rtl/>
          <w:cs/>
          <w:lang w:val="ar_AE" w:bidi="ar_AE"/>
        </w:rPr>
      </w:r>
      <w:r>
        <w:rPr>
          <w:u w:val="single"/>
          <w:rtl/>
          <w:cs/>
          <w:lang w:val="ar_AE" w:bidi="ar_AE"/>
        </w:rPr>
        <w:t>نصوص كتابية لمزيد من الدراسة</w:t>
      </w:r>
    </w:p>
    <w:p>
      <w:pPr>
        <w:bidi/>
      </w:pPr>
      <w:r>
        <w:rPr>
          <w:rtl/>
          <w:cs/>
          <w:lang w:val="ar_AE" w:bidi="ar_AE"/>
        </w:rPr>
      </w:r>
      <w:r>
        <w:rPr>
          <w:rtl/>
          <w:cs/>
          <w:lang w:val="ar_AE" w:bidi="ar_AE"/>
        </w:rPr>
        <w:t>تكوين 12: 15–20؛ 20: 1–18؛ خروج 7: 3–5؛ 7: 14–11: 10؛ 12: 28–33؛ 32: 35؛ العدد 11: 33؛ 12: 1–15؛ 16: 43–50؛ 1ملوك 13: 4؛ 2ملوك 2: 24؛ 2أخبار الأيام 26: 16–21؛ أعمال الرسل 5: 1–11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ضد المسيح</w:t>
      </w:r>
      <w:r>
        <w:rPr>
          <w:rtl/>
          <w:cs/>
          <w:lang w:val="ar_AE" w:bidi="ar_AE"/>
        </w:rPr>
      </w:r>
    </w:p>
    <w:p>
      <w:pPr>
        <w:bidi/>
      </w:pPr>
      <w:r>
        <w:rPr>
          <w:rtl/>
          <w:cs/>
          <w:lang w:val="ar_AE" w:bidi="ar_AE"/>
        </w:rPr>
      </w:r>
      <w:r>
        <w:rPr>
          <w:rtl/>
          <w:cs/>
          <w:lang w:val="ar_AE" w:bidi="ar_AE"/>
        </w:rPr>
        <w:t xml:space="preserve">يظهر مصطلح </w:t>
      </w:r>
      <w:r>
        <w:rPr>
          <w:i/>
          <w:rtl/>
          <w:cs/>
          <w:lang w:val="ar_AE" w:bidi="ar_AE"/>
        </w:rPr>
        <w:t>ضد</w:t>
      </w:r>
      <w:r>
        <w:rPr>
          <w:rtl/>
          <w:cs/>
          <w:lang w:val="ar_AE" w:bidi="ar_AE"/>
        </w:rPr>
        <w:t xml:space="preserve"> </w:t>
      </w:r>
      <w:r>
        <w:rPr>
          <w:i/>
          <w:rtl/>
          <w:cs/>
          <w:lang w:val="ar_AE" w:bidi="ar_AE"/>
        </w:rPr>
        <w:t>المسيح</w:t>
      </w:r>
      <w:r>
        <w:rPr>
          <w:rtl/>
          <w:cs/>
          <w:lang w:val="ar_AE" w:bidi="ar_AE"/>
        </w:rPr>
        <w:t xml:space="preserve"> في رسائل يوحنا الرسول فقط (</w:t>
      </w:r>
      <w:r>
        <w:rPr>
          <w:rtl/>
          <w:cs/>
          <w:lang w:val="ar_AE" w:bidi="ar_AE"/>
        </w:rPr>
        <w:t>1 يوحنا 2:18</w:t>
      </w:r>
      <w:r>
        <w:rPr>
          <w:rtl/>
          <w:cs/>
          <w:lang w:val="ar_AE" w:bidi="ar_AE"/>
        </w:rPr>
        <w:t xml:space="preserve">, </w:t>
      </w:r>
      <w:r>
        <w:rPr>
          <w:rtl/>
          <w:cs/>
          <w:lang w:val="ar_AE" w:bidi="ar_AE"/>
        </w:rPr>
        <w:t>22</w:t>
      </w:r>
      <w:r>
        <w:rPr>
          <w:rtl/>
          <w:cs/>
          <w:lang w:val="ar_AE" w:bidi="ar_AE"/>
        </w:rPr>
        <w:t xml:space="preserve">; </w:t>
      </w:r>
      <w:r>
        <w:rPr>
          <w:rtl/>
          <w:cs/>
          <w:lang w:val="ar_AE" w:bidi="ar_AE"/>
        </w:rPr>
        <w:t>4:3</w:t>
      </w:r>
      <w:r>
        <w:rPr>
          <w:rtl/>
          <w:cs/>
          <w:lang w:val="ar_AE" w:bidi="ar_AE"/>
        </w:rPr>
        <w:t xml:space="preserve">; </w:t>
      </w:r>
      <w:r>
        <w:rPr>
          <w:rtl/>
          <w:cs/>
          <w:lang w:val="ar_AE" w:bidi="ar_AE"/>
        </w:rPr>
        <w:t>2 يوحنا 1:7</w:t>
      </w:r>
      <w:r>
        <w:rPr>
          <w:rtl/>
          <w:cs/>
          <w:lang w:val="ar_AE" w:bidi="ar_AE"/>
        </w:rPr>
        <w:t>). كان يوحنا يؤمن أن العديد من أضداد المسيح سيظهرون عبر التاريخ (</w:t>
      </w:r>
      <w:r>
        <w:rPr>
          <w:rtl/>
          <w:cs/>
          <w:lang w:val="ar_AE" w:bidi="ar_AE"/>
        </w:rPr>
        <w:t>1 يوحنا 2:18</w:t>
      </w:r>
      <w:r>
        <w:rPr>
          <w:rtl/>
          <w:cs/>
          <w:lang w:val="ar_AE" w:bidi="ar_AE"/>
        </w:rPr>
        <w:t>). وسينكر أضداد المسيح هؤلاء أن الرب يسوع إله كامل وإنسان كامل في الوقت نفسه (</w:t>
      </w:r>
      <w:r>
        <w:rPr>
          <w:rtl/>
          <w:cs/>
          <w:lang w:val="ar_AE" w:bidi="ar_AE"/>
        </w:rPr>
        <w:t>1 يوحنا 2:22</w:t>
      </w:r>
      <w:r>
        <w:rPr>
          <w:rtl/>
          <w:cs/>
          <w:lang w:val="ar_AE" w:bidi="ar_AE"/>
        </w:rPr>
        <w:t xml:space="preserve">; </w:t>
      </w:r>
      <w:r>
        <w:rPr>
          <w:rtl/>
          <w:cs/>
          <w:lang w:val="ar_AE" w:bidi="ar_AE"/>
        </w:rPr>
        <w:t>4:2–3</w:t>
      </w:r>
      <w:r>
        <w:rPr>
          <w:rtl/>
          <w:cs/>
          <w:lang w:val="ar_AE" w:bidi="ar_AE"/>
        </w:rPr>
        <w:t xml:space="preserve">; </w:t>
      </w:r>
      <w:r>
        <w:rPr>
          <w:rtl/>
          <w:cs/>
          <w:lang w:val="ar_AE" w:bidi="ar_AE"/>
        </w:rPr>
        <w:t>2 يوحنا 1:7</w:t>
      </w:r>
      <w:r>
        <w:rPr>
          <w:rtl/>
          <w:cs/>
          <w:lang w:val="ar_AE" w:bidi="ar_AE"/>
        </w:rPr>
        <w:t>).</w:t>
      </w:r>
    </w:p>
    <w:p>
      <w:pPr>
        <w:bidi/>
      </w:pPr>
      <w:r>
        <w:rPr>
          <w:rtl/>
          <w:cs/>
          <w:lang w:val="ar_AE" w:bidi="ar_AE"/>
        </w:rPr>
      </w:r>
      <w:r>
        <w:rPr>
          <w:rtl/>
          <w:cs/>
          <w:lang w:val="ar_AE" w:bidi="ar_AE"/>
        </w:rPr>
        <w:t>يذكر الرسول بولس "إنسان الخطية" الذي سيظهر في الأوقات الأخيرة لبدء تمرد ضد الله (</w:t>
      </w:r>
      <w:r>
        <w:rPr>
          <w:rtl/>
          <w:cs/>
          <w:lang w:val="ar_AE" w:bidi="ar_AE"/>
        </w:rPr>
        <w:t>2 تسالونيكي 2:1–12</w:t>
      </w:r>
      <w:r>
        <w:rPr>
          <w:rtl/>
          <w:cs/>
          <w:lang w:val="ar_AE" w:bidi="ar_AE"/>
        </w:rPr>
        <w:t>). هذا الشخص "</w:t>
      </w:r>
      <w:r>
        <w:rPr>
          <w:rtl/>
          <w:cs/>
          <w:lang w:val="ar_AE" w:bidi="ar_AE"/>
        </w:rPr>
        <w:t>ٱلَّذِي مَجِيئُهُ بِعَمَلِ ٱلشَّيْطَانِ</w:t>
      </w:r>
      <w:r>
        <w:rPr>
          <w:rtl/>
          <w:cs/>
          <w:lang w:val="ar_AE" w:bidi="ar_AE"/>
        </w:rPr>
        <w:t>." ويحدث ذلك بشكل رئيسي من خلال الخداع. سفر الرؤيا لا يسميه "ضد المسيح" تحديدًا، لكن "إنسان الخطية" هذا، سيقاوم الحق، مثل "أضداد المسيح" في رسائل يوحنا.</w:t>
      </w:r>
    </w:p>
    <w:p>
      <w:pPr>
        <w:bidi/>
      </w:pPr>
      <w:r>
        <w:rPr>
          <w:rtl/>
          <w:cs/>
          <w:lang w:val="ar_AE" w:bidi="ar_AE"/>
        </w:rPr>
      </w:r>
      <w:r>
        <w:rPr>
          <w:rtl/>
          <w:cs/>
          <w:lang w:val="ar_AE" w:bidi="ar_AE"/>
        </w:rPr>
        <w:t xml:space="preserve">في </w:t>
      </w:r>
      <w:r>
        <w:rPr>
          <w:rtl/>
          <w:cs/>
          <w:lang w:val="ar_AE" w:bidi="ar_AE"/>
        </w:rPr>
        <w:t>رؤيا 13</w:t>
      </w:r>
      <w:r>
        <w:rPr>
          <w:rtl/>
          <w:cs/>
          <w:lang w:val="ar_AE" w:bidi="ar_AE"/>
        </w:rPr>
        <w:t xml:space="preserve">، الروح المعارض ليسوع المسيح يُشار إليه باسم "وحش آخر" يخدم التنين (الشيطان) والوحش الأول. رقم هذا المسيح الدجال، 666، وهو في الغالب رمزًا للإمبراطور نيرون، أو ربما يكون رمزًا للإمبراطور دوميتيان (انظر </w:t>
      </w:r>
      <w:r>
        <w:rPr>
          <w:rtl/>
          <w:cs/>
          <w:lang w:val="ar_AE" w:bidi="ar_AE"/>
        </w:rPr>
        <w:t>ملاحظة الدراسة على 17:8</w:t>
      </w:r>
      <w:r>
        <w:rPr>
          <w:rtl/>
          <w:cs/>
          <w:lang w:val="ar_AE" w:bidi="ar_AE"/>
        </w:rPr>
        <w:t>). كانت عبادة الإمبراطور، التي أعلنت أن "قيصر هو الرب!"، ديانة زائفة تعارض إعلان أن يسوع المسيح هو الرب.</w:t>
      </w:r>
    </w:p>
    <w:p>
      <w:pPr>
        <w:bidi/>
      </w:pPr>
      <w:r>
        <w:rPr>
          <w:rtl/>
          <w:cs/>
          <w:lang w:val="ar_AE" w:bidi="ar_AE"/>
        </w:rPr>
      </w:r>
      <w:r>
        <w:rPr>
          <w:rtl/>
          <w:cs/>
          <w:lang w:val="ar_AE" w:bidi="ar_AE"/>
        </w:rPr>
        <w:t>لا يمكننا التأكد ما إذا كان يوحنا يتوقع مجيء ضد المسيح النهائي لشخص أعظم من القادة مثل نيرون أو دوميتيان. ومع ذلك، فيجب على المسيحيين أن يدركوا وجود الشر. كما يجب عليهم أن يدركوا معارضته للمسيح في الأفراد وفي هياكل السلطة في جميع أنحاء العالم. قد تؤدي مقاومة هؤلاء الأعداء إلى الاضطهاد، وحتى إلى الموت. لكن رجاؤنا يكمن في النصر النهائي من خلال المسيح.</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2 تسالونيكي 2:3–10</w:t>
      </w:r>
      <w:r>
        <w:rPr>
          <w:rtl/>
          <w:cs/>
          <w:lang w:val="ar_AE" w:bidi="ar_AE"/>
        </w:rPr>
        <w:t xml:space="preserve">؛ </w:t>
      </w:r>
      <w:r>
        <w:rPr>
          <w:rtl/>
          <w:cs/>
          <w:lang w:val="ar_AE" w:bidi="ar_AE"/>
        </w:rPr>
        <w:t>1 يوحنا 2:18</w:t>
      </w:r>
      <w:r>
        <w:rPr>
          <w:rtl/>
          <w:cs/>
          <w:lang w:val="ar_AE" w:bidi="ar_AE"/>
        </w:rPr>
        <w:t xml:space="preserve">، </w:t>
      </w:r>
      <w:r>
        <w:rPr>
          <w:rtl/>
          <w:cs/>
          <w:lang w:val="ar_AE" w:bidi="ar_AE"/>
        </w:rPr>
        <w:t>22</w:t>
      </w:r>
      <w:r>
        <w:rPr>
          <w:rtl/>
          <w:cs/>
          <w:lang w:val="ar_AE" w:bidi="ar_AE"/>
        </w:rPr>
        <w:t xml:space="preserve">؛ </w:t>
      </w:r>
      <w:r>
        <w:rPr>
          <w:rtl/>
          <w:cs/>
          <w:lang w:val="ar_AE" w:bidi="ar_AE"/>
        </w:rPr>
        <w:t>4:2–3</w:t>
      </w:r>
      <w:r>
        <w:rPr>
          <w:rtl/>
          <w:cs/>
          <w:lang w:val="ar_AE" w:bidi="ar_AE"/>
        </w:rPr>
        <w:t xml:space="preserve">؛ </w:t>
      </w:r>
      <w:r>
        <w:rPr>
          <w:rtl/>
          <w:cs/>
          <w:lang w:val="ar_AE" w:bidi="ar_AE"/>
        </w:rPr>
        <w:t>2 يوحنا 1:7</w:t>
      </w:r>
      <w:r>
        <w:rPr>
          <w:rtl/>
          <w:cs/>
          <w:lang w:val="ar_AE" w:bidi="ar_AE"/>
        </w:rPr>
        <w:t xml:space="preserve">؛ </w:t>
      </w:r>
      <w:r>
        <w:rPr>
          <w:rtl/>
          <w:cs/>
          <w:lang w:val="ar_AE" w:bidi="ar_AE"/>
        </w:rPr>
        <w:t>رؤيا 13:11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