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(Themes)</w:t>
      </w:r>
      <w:r>
        <w:rPr>
          <w:rtl/>
          <w:cs/>
          <w:lang w:val="ar_AE" w:bidi="ar_AE"/>
        </w:rPr>
      </w:r>
    </w:p>
    <w:p>
      <w:pPr>
        <w:bidi/>
      </w:pPr>
      <w:r>
        <w:rPr>
          <w:rtl/>
          <w:cs/>
          <w:lang w:val="ar_AE" w:bidi="ar_AE"/>
        </w:rPr>
      </w:r>
      <w:r>
        <w:rPr>
          <w:b/>
          <w:rtl/>
          <w:cs/>
          <w:lang w:val="ar_AE" w:bidi="ar_AE"/>
        </w:rPr>
        <w:t>Aquifer Open Study Notes (Themes)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ط</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الطلاق والزاوج من غير المؤمنين</w:t>
      </w:r>
      <w:r>
        <w:rPr>
          <w:rtl/>
          <w:cs/>
          <w:lang w:val="ar_AE" w:bidi="ar_AE"/>
        </w:rPr>
      </w:r>
    </w:p>
    <w:p>
      <w:pPr>
        <w:bidi/>
      </w:pPr>
      <w:r>
        <w:rPr>
          <w:rtl/>
          <w:cs/>
          <w:lang w:val="ar_AE" w:bidi="ar_AE"/>
        </w:rPr>
      </w:r>
      <w:r>
        <w:rPr>
          <w:rtl/>
          <w:cs/>
          <w:lang w:val="ar_AE" w:bidi="ar_AE"/>
        </w:rPr>
        <w:t>حذّر الله شعبه من الزواج من الأجانب (غير اليهود) (</w:t>
      </w:r>
      <w:r>
        <w:rPr>
          <w:rtl/>
          <w:cs/>
          <w:lang w:val="ar_AE" w:bidi="ar_AE"/>
        </w:rPr>
        <w:t>تثنية 7:1–6</w:t>
      </w:r>
      <w:r>
        <w:rPr>
          <w:rtl/>
          <w:cs/>
          <w:lang w:val="ar_AE" w:bidi="ar_AE"/>
        </w:rPr>
        <w:t>). لم تكن المعضلة في الزواج من شخص من بلد أو عرق مختلف، بل كانت في الزواج من أشخاص يتبعون آلهة أخرى. فموسى نفسه تزوّج من امرأة كوشية (</w:t>
      </w:r>
      <w:r>
        <w:rPr>
          <w:rtl/>
          <w:cs/>
          <w:lang w:val="ar_AE" w:bidi="ar_AE"/>
        </w:rPr>
        <w:t>عدد 12:1</w:t>
      </w:r>
      <w:r>
        <w:rPr>
          <w:rtl/>
          <w:cs/>
          <w:lang w:val="ar_AE" w:bidi="ar_AE"/>
        </w:rPr>
        <w:t xml:space="preserve">). كما انضم أجانب آخرون إلى إسرائيل عن طريق الزواج، مثل راحاب الكنعانية وراعوث الموآبية (انظر </w:t>
      </w:r>
      <w:r>
        <w:rPr>
          <w:rtl/>
          <w:cs/>
          <w:lang w:val="ar_AE" w:bidi="ar_AE"/>
        </w:rPr>
        <w:t>متى 1:5؛</w:t>
      </w:r>
      <w:r>
        <w:rPr>
          <w:rtl/>
          <w:cs/>
          <w:lang w:val="ar_AE" w:bidi="ar_AE"/>
        </w:rPr>
        <w:t xml:space="preserve"> </w:t>
      </w:r>
      <w:r>
        <w:rPr>
          <w:rtl/>
          <w:cs/>
          <w:lang w:val="ar_AE" w:bidi="ar_AE"/>
        </w:rPr>
        <w:t>راعوث 4:1–22</w:t>
      </w:r>
      <w:r>
        <w:rPr>
          <w:rtl/>
          <w:cs/>
          <w:lang w:val="ar_AE" w:bidi="ar_AE"/>
        </w:rPr>
        <w:t>). لقد آمن هؤلاء النساء بالله (إله إسرائيل)، فباركهن الله. غير أن الملك سليمان تزوج بالعديد من الأجنبيات. وقد تأثر سليمان بعبادتهن لآلهة أخرى مما جعله يعبد الأوثان أيضًا، وقد حدث هذا مثلما حذّر الله شعبه سابقًا من أن ذلك سيحدث (</w:t>
      </w:r>
      <w:r>
        <w:rPr>
          <w:rtl/>
          <w:cs/>
          <w:lang w:val="ar_AE" w:bidi="ar_AE"/>
        </w:rPr>
        <w:t>1 ملوك 11:1–5</w:t>
      </w:r>
      <w:r>
        <w:rPr>
          <w:rtl/>
          <w:cs/>
          <w:lang w:val="ar_AE" w:bidi="ar_AE"/>
        </w:rPr>
        <w:t>).</w:t>
      </w:r>
    </w:p>
    <w:p>
      <w:pPr>
        <w:bidi/>
      </w:pPr>
      <w:r>
        <w:rPr>
          <w:rtl/>
          <w:cs/>
          <w:lang w:val="ar_AE" w:bidi="ar_AE"/>
        </w:rPr>
      </w:r>
      <w:r>
        <w:rPr>
          <w:rtl/>
          <w:cs/>
          <w:lang w:val="ar_AE" w:bidi="ar_AE"/>
        </w:rPr>
        <w:t xml:space="preserve">في الكتاب المقدس، الزواج هو وعد ملزم (أو عهدًا) يُقطع أمام الله. يتضمن هذا العهد الإخلاص والأمانة والمحبة والوفاء بين الزوجين. وعلى الجانب الآخر، كان من الأهم لإسرائيل أن يظلوا أمناء لعهد الرب معهم بصفتهم شعب الله. يمكن أن تؤدي الزيجات المختلطة إلى إنجاب أبناء غير أمناء تمامًا لإيمان إسرائيل، حيث قد يتأثرون بعبادة أبيهم الأجنبي للأوثان. هذا التنازل قد يؤدي إلى أن يصبح إسرائيل غير أمناء تمامًا لله وتعتنق الأديان الباطلة الزائفة، كما حدث قبل السبي إلى بابل (انظر </w:t>
      </w:r>
      <w:r>
        <w:rPr>
          <w:rtl/>
          <w:cs/>
          <w:lang w:val="ar_AE" w:bidi="ar_AE"/>
        </w:rPr>
        <w:t>قضاة 3:3–7</w:t>
      </w:r>
      <w:r>
        <w:rPr>
          <w:rtl/>
          <w:cs/>
          <w:lang w:val="ar_AE" w:bidi="ar_AE"/>
        </w:rPr>
        <w:t xml:space="preserve">؛ </w:t>
      </w:r>
      <w:r>
        <w:rPr>
          <w:rtl/>
          <w:cs/>
          <w:lang w:val="ar_AE" w:bidi="ar_AE"/>
        </w:rPr>
        <w:t>14:1–9</w:t>
      </w:r>
      <w:r>
        <w:rPr>
          <w:rtl/>
          <w:cs/>
          <w:lang w:val="ar_AE" w:bidi="ar_AE"/>
        </w:rPr>
        <w:t xml:space="preserve">؛ </w:t>
      </w:r>
      <w:r>
        <w:rPr>
          <w:rtl/>
          <w:cs/>
          <w:lang w:val="ar_AE" w:bidi="ar_AE"/>
        </w:rPr>
        <w:t>1 ملوك 11:1–8</w:t>
      </w:r>
      <w:r>
        <w:rPr>
          <w:rtl/>
          <w:cs/>
          <w:lang w:val="ar_AE" w:bidi="ar_AE"/>
        </w:rPr>
        <w:t xml:space="preserve">؛ </w:t>
      </w:r>
      <w:r>
        <w:rPr>
          <w:rtl/>
          <w:cs/>
          <w:lang w:val="ar_AE" w:bidi="ar_AE"/>
        </w:rPr>
        <w:t>2 ملوك 17:7–17</w:t>
      </w:r>
      <w:r>
        <w:rPr>
          <w:rtl/>
          <w:cs/>
          <w:lang w:val="ar_AE" w:bidi="ar_AE"/>
        </w:rPr>
        <w:t>).</w:t>
      </w:r>
    </w:p>
    <w:p>
      <w:pPr>
        <w:bidi/>
      </w:pPr>
      <w:r>
        <w:rPr>
          <w:rtl/>
          <w:cs/>
          <w:lang w:val="ar_AE" w:bidi="ar_AE"/>
        </w:rPr>
      </w:r>
      <w:r>
        <w:rPr>
          <w:rtl/>
          <w:cs/>
          <w:lang w:val="ar_AE" w:bidi="ar_AE"/>
        </w:rPr>
        <w:t xml:space="preserve">في </w:t>
      </w:r>
      <w:r>
        <w:rPr>
          <w:rtl/>
          <w:cs/>
          <w:lang w:val="ar_AE" w:bidi="ar_AE"/>
        </w:rPr>
        <w:t>عزرا 9 و10</w:t>
      </w:r>
      <w:r>
        <w:rPr>
          <w:rtl/>
          <w:cs/>
          <w:lang w:val="ar_AE" w:bidi="ar_AE"/>
        </w:rPr>
        <w:t>، تزوج اليهود الذين عادوا من السبي من أشخاص يعبدون آلهة أخرى. والحلّ الذي وضعه عزرا هو الطلاق، لكن هذا ليس قاعدة للمؤمنين اليوم. تحت العهد الجديد مع يسوع، إيمان المؤمن يجعل زواجه وأبنائه مقدسين. لذا، فالزواج من غير المؤمن لا يهدّد هُوِيَّة مجتمع الله أو نقائه (</w:t>
      </w:r>
      <w:r>
        <w:rPr>
          <w:rtl/>
          <w:cs/>
          <w:lang w:val="ar_AE" w:bidi="ar_AE"/>
        </w:rPr>
        <w:t>1 كورنثوس 7:14–16</w:t>
      </w:r>
      <w:r>
        <w:rPr>
          <w:rtl/>
          <w:cs/>
          <w:lang w:val="ar_AE" w:bidi="ar_AE"/>
        </w:rPr>
        <w:t>). أدرك الرسول بولس أن الطلاق قد يحدث إذا تزوج المؤمنون من غير المؤمنين، لكنه لم ينصح المؤمنين بالطلاق في مثل هذه الحالات (</w:t>
      </w:r>
      <w:r>
        <w:rPr>
          <w:rtl/>
          <w:cs/>
          <w:lang w:val="ar_AE" w:bidi="ar_AE"/>
        </w:rPr>
        <w:t>1 كورنثوس 7:10–13</w:t>
      </w:r>
      <w:r>
        <w:rPr>
          <w:rtl/>
          <w:cs/>
          <w:lang w:val="ar_AE" w:bidi="ar_AE"/>
        </w:rPr>
        <w:t>).</w:t>
      </w:r>
    </w:p>
    <w:p>
      <w:pPr>
        <w:bidi/>
      </w:pPr>
      <w:r>
        <w:rPr>
          <w:rtl/>
          <w:cs/>
          <w:lang w:val="ar_AE" w:bidi="ar_AE"/>
        </w:rPr>
      </w:r>
      <w:r>
        <w:rPr>
          <w:rtl/>
          <w:cs/>
          <w:lang w:val="ar_AE" w:bidi="ar_AE"/>
        </w:rPr>
        <w:t>ولتجنب هذه المشكلات، من الحكمة اتباع نصيحة بولس للمؤمنين بعدم الزواج من غير المؤمنين. يجب أن يبقى شعب الله منفصلًا عن غير المقدس: "لِأَنَّهُ أَيَّةُ خُلْطَةٍ لِلْبِرِّ وَٱلْإِثْمِ؟ وَأَيَّةُ شَرِكَةٍ لِلنُّورِ مَعَ ٱلظُّلْمَةِ؟ وَأَيُّ ٱتِّفَاقٍ لِلْمَسِيحِ مَعَ بَلِيعَالَ؟ وَأَيُّ نَصِيبٍ لِلْمُؤْمِنِ مَعَ غَيْرِ ٱلْمُؤْمِنِ؟" (</w:t>
      </w:r>
      <w:r>
        <w:rPr>
          <w:rtl/>
          <w:cs/>
          <w:lang w:val="ar_AE" w:bidi="ar_AE"/>
        </w:rPr>
        <w:t>2 كورنثوس 6:14–15</w:t>
      </w:r>
      <w:r>
        <w:rPr>
          <w:rtl/>
          <w:cs/>
          <w:lang w:val="ar_AE" w:bidi="ar_AE"/>
        </w:rPr>
        <w:t xml:space="preserve">). ومع ذلك، فإن المتزوجين من غير المؤمنين اليوم لديهم ضمانًا من الله نفسه بإمكانية استخدامه ذلك الوضع الصعب لمجده (انظر أيضًا </w:t>
      </w:r>
      <w:r>
        <w:rPr>
          <w:rtl/>
          <w:cs/>
          <w:lang w:val="ar_AE" w:bidi="ar_AE"/>
        </w:rPr>
        <w:t>1 بطرس 3:1–2</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تثنية 7:1–6؛</w:t>
      </w:r>
      <w:r>
        <w:rPr>
          <w:rtl/>
          <w:cs/>
          <w:lang w:val="ar_AE" w:bidi="ar_AE"/>
        </w:rPr>
        <w:t xml:space="preserve"> </w:t>
      </w:r>
      <w:r>
        <w:rPr>
          <w:rtl/>
          <w:cs/>
          <w:lang w:val="ar_AE" w:bidi="ar_AE"/>
        </w:rPr>
        <w:t>يشوع 2:1–14؛</w:t>
      </w:r>
      <w:r>
        <w:rPr>
          <w:rtl/>
          <w:cs/>
          <w:lang w:val="ar_AE" w:bidi="ar_AE"/>
        </w:rPr>
        <w:t xml:space="preserve"> </w:t>
      </w:r>
      <w:r>
        <w:rPr>
          <w:rtl/>
          <w:cs/>
          <w:lang w:val="ar_AE" w:bidi="ar_AE"/>
        </w:rPr>
        <w:t>6:23–25؛</w:t>
      </w:r>
      <w:r>
        <w:rPr>
          <w:rtl/>
          <w:cs/>
          <w:lang w:val="ar_AE" w:bidi="ar_AE"/>
        </w:rPr>
        <w:t xml:space="preserve"> </w:t>
      </w:r>
      <w:r>
        <w:rPr>
          <w:rtl/>
          <w:cs/>
          <w:lang w:val="ar_AE" w:bidi="ar_AE"/>
        </w:rPr>
        <w:t>قضاة 3:3–7؛</w:t>
      </w:r>
      <w:r>
        <w:rPr>
          <w:rtl/>
          <w:cs/>
          <w:lang w:val="ar_AE" w:bidi="ar_AE"/>
        </w:rPr>
        <w:t xml:space="preserve"> </w:t>
      </w:r>
      <w:r>
        <w:rPr>
          <w:rtl/>
          <w:cs/>
          <w:lang w:val="ar_AE" w:bidi="ar_AE"/>
        </w:rPr>
        <w:t>14:1–9؛</w:t>
      </w:r>
      <w:r>
        <w:rPr>
          <w:rtl/>
          <w:cs/>
          <w:lang w:val="ar_AE" w:bidi="ar_AE"/>
        </w:rPr>
        <w:t xml:space="preserve"> </w:t>
      </w:r>
      <w:r>
        <w:rPr>
          <w:rtl/>
          <w:cs/>
          <w:lang w:val="ar_AE" w:bidi="ar_AE"/>
        </w:rPr>
        <w:t>راعوث 4:1–22؛</w:t>
      </w:r>
      <w:r>
        <w:rPr>
          <w:rtl/>
          <w:cs/>
          <w:lang w:val="ar_AE" w:bidi="ar_AE"/>
        </w:rPr>
        <w:t xml:space="preserve"> </w:t>
      </w:r>
      <w:r>
        <w:rPr>
          <w:rtl/>
          <w:cs/>
          <w:lang w:val="ar_AE" w:bidi="ar_AE"/>
        </w:rPr>
        <w:t>1 ملوك11:1–8؛</w:t>
      </w:r>
      <w:r>
        <w:rPr>
          <w:rtl/>
          <w:cs/>
          <w:lang w:val="ar_AE" w:bidi="ar_AE"/>
        </w:rPr>
        <w:t xml:space="preserve"> </w:t>
      </w:r>
      <w:r>
        <w:rPr>
          <w:rtl/>
          <w:cs/>
          <w:lang w:val="ar_AE" w:bidi="ar_AE"/>
        </w:rPr>
        <w:t>2 ملوك17:7–17؛</w:t>
      </w:r>
      <w:r>
        <w:rPr>
          <w:rtl/>
          <w:cs/>
          <w:lang w:val="ar_AE" w:bidi="ar_AE"/>
        </w:rPr>
        <w:t xml:space="preserve"> </w:t>
      </w:r>
      <w:r>
        <w:rPr>
          <w:rtl/>
          <w:cs/>
          <w:lang w:val="ar_AE" w:bidi="ar_AE"/>
        </w:rPr>
        <w:t>عزرا 9:1–10:44؛</w:t>
      </w:r>
      <w:r>
        <w:rPr>
          <w:rtl/>
          <w:cs/>
          <w:lang w:val="ar_AE" w:bidi="ar_AE"/>
        </w:rPr>
        <w:t xml:space="preserve"> </w:t>
      </w:r>
      <w:r>
        <w:rPr>
          <w:rtl/>
          <w:cs/>
          <w:lang w:val="ar_AE" w:bidi="ar_AE"/>
        </w:rPr>
        <w:t>1كورنثوس7:10–16؛</w:t>
      </w:r>
      <w:r>
        <w:rPr>
          <w:rtl/>
          <w:cs/>
          <w:lang w:val="ar_AE" w:bidi="ar_AE"/>
        </w:rPr>
        <w:t xml:space="preserve"> </w:t>
      </w:r>
      <w:r>
        <w:rPr>
          <w:rtl/>
          <w:cs/>
          <w:lang w:val="ar_AE" w:bidi="ar_AE"/>
        </w:rPr>
        <w:t>2كورنثوس 6:14–15؛</w:t>
      </w:r>
      <w:r>
        <w:rPr>
          <w:rtl/>
          <w:cs/>
          <w:lang w:val="ar_AE" w:bidi="ar_AE"/>
        </w:rPr>
        <w:t xml:space="preserve"> </w:t>
      </w:r>
      <w:r>
        <w:rPr>
          <w:rtl/>
          <w:cs/>
          <w:lang w:val="ar_AE" w:bidi="ar_AE"/>
        </w:rPr>
        <w:t>العبرانيين11:31.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طاهر، نجس ، ومقدس</w:t>
      </w:r>
      <w:r>
        <w:rPr>
          <w:rtl/>
          <w:cs/>
          <w:lang w:val="ar_AE" w:bidi="ar_AE"/>
        </w:rPr>
      </w:r>
    </w:p>
    <w:p>
      <w:pPr>
        <w:bidi/>
      </w:pPr>
      <w:r>
        <w:rPr>
          <w:rtl/>
          <w:cs/>
          <w:lang w:val="ar_AE" w:bidi="ar_AE"/>
        </w:rPr>
      </w:r>
      <w:r>
        <w:rPr>
          <w:rtl/>
          <w:cs/>
          <w:lang w:val="ar_AE" w:bidi="ar_AE"/>
        </w:rPr>
        <w:t xml:space="preserve">تُميز قواعد الطهارة والنجاسة الطقسية إسرائيل عن الأمم الأخرى. وإحدى الأفكار الأساسية في هذا السياق هي أن الأشياء النجسة ترتبط بالموت أو بما هو أرضي (انظر، على سبيل المثال، </w:t>
      </w:r>
      <w:r>
        <w:rPr>
          <w:rtl/>
          <w:cs/>
          <w:lang w:val="ar_AE" w:bidi="ar_AE"/>
        </w:rPr>
        <w:t>لاويين 21:1</w:t>
      </w:r>
      <w:r>
        <w:rPr>
          <w:rtl/>
          <w:cs/>
          <w:lang w:val="ar_AE" w:bidi="ar_AE"/>
        </w:rPr>
        <w:t xml:space="preserve">، </w:t>
      </w:r>
      <w:r>
        <w:rPr>
          <w:rtl/>
          <w:cs/>
          <w:lang w:val="ar_AE" w:bidi="ar_AE"/>
        </w:rPr>
        <w:t>11</w:t>
      </w:r>
      <w:r>
        <w:rPr>
          <w:rtl/>
          <w:cs/>
          <w:lang w:val="ar_AE" w:bidi="ar_AE"/>
        </w:rPr>
        <w:t xml:space="preserve">؛ </w:t>
      </w:r>
      <w:r>
        <w:rPr>
          <w:rtl/>
          <w:cs/>
          <w:lang w:val="ar_AE" w:bidi="ar_AE"/>
        </w:rPr>
        <w:t>22:8</w:t>
      </w:r>
      <w:r>
        <w:rPr>
          <w:rtl/>
          <w:cs/>
          <w:lang w:val="ar_AE" w:bidi="ar_AE"/>
        </w:rPr>
        <w:t>). وتشير الدراسات الكتابيّة الحديثة إلى أن ما هو "طبيعي" على أنه طاهر. فالله يقدّر النظام، والأشياء التي تتماشى مع نظام الله هي "طاهرة" و"مسموح بها." أما الأشياء غير الطبيعية فهي غير مناسبة للطعام أو التقدمات وتعتبر "نجسة."</w:t>
      </w:r>
    </w:p>
    <w:p>
      <w:pPr>
        <w:bidi/>
      </w:pPr>
      <w:r>
        <w:rPr>
          <w:rtl/>
          <w:cs/>
          <w:lang w:val="ar_AE" w:bidi="ar_AE"/>
        </w:rPr>
      </w:r>
      <w:r>
        <w:rPr>
          <w:rtl/>
          <w:cs/>
          <w:lang w:val="ar_AE" w:bidi="ar_AE"/>
        </w:rPr>
        <w:t xml:space="preserve">ففي حالته الطبيعية، يتغذى الحيوان البري على النباتات (انظر </w:t>
      </w:r>
      <w:r>
        <w:rPr>
          <w:rtl/>
          <w:cs/>
          <w:lang w:val="ar_AE" w:bidi="ar_AE"/>
        </w:rPr>
        <w:t>تكوين 1: 30</w:t>
      </w:r>
      <w:r>
        <w:rPr>
          <w:rtl/>
          <w:cs/>
          <w:lang w:val="ar_AE" w:bidi="ar_AE"/>
        </w:rPr>
        <w:t>). والجسم البشري السليم لا يعاني من إفرازات أو التهابات. وقطعة القماش، في وضعها الطبيعي، تكون خالية من العفن. ولكن إذا طرأ خلل غير طبيعي — سواء في الحيوان أو الإنسان أو المادة — فإنها تُعتبَر حينها غير طاهرة من منظور الشريعة الطقسية.</w:t>
      </w:r>
    </w:p>
    <w:p>
      <w:pPr>
        <w:bidi/>
      </w:pPr>
      <w:r>
        <w:rPr>
          <w:rtl/>
          <w:cs/>
          <w:lang w:val="ar_AE" w:bidi="ar_AE"/>
        </w:rPr>
      </w:r>
      <w:r>
        <w:rPr>
          <w:rtl/>
          <w:cs/>
          <w:lang w:val="ar_AE" w:bidi="ar_AE"/>
        </w:rPr>
        <w:t xml:space="preserve">ما هو نجس ليس بالضرورة شيء خاطئ، لكنه يُمثّل عدم الاستحقاق، ولا يجوز له أن يَمسّ ما هو مقدّس (على سبيل المثال، </w:t>
      </w:r>
      <w:r>
        <w:rPr>
          <w:rtl/>
          <w:cs/>
          <w:lang w:val="ar_AE" w:bidi="ar_AE"/>
        </w:rPr>
        <w:t>لاويين 11:44–45</w:t>
      </w:r>
      <w:r>
        <w:rPr>
          <w:rtl/>
          <w:cs/>
          <w:lang w:val="ar_AE" w:bidi="ar_AE"/>
        </w:rPr>
        <w:t>). ولكن بمجرد تطهير الشيء النجس، يمكن أن يصبح مقدّسًا ومكرّسًا لله. أما إذا عامَل الناس الأمور المقدسة — مثل السبت — كأمور عادية، فإنهم بذلك يُظهرون عدم احترام لله (أو يجدفون عليه) ويجعلونه غير مقدس. وعندما يتحوّل ما هو طاهر إلى نجس، فهو بحاجة إلى تطهير من جديد. وهناك أمور معينة — مثل أن بعض الحيوانات أو الطيور أو الأسماك غير الطاهرة— فهذه تظل دائمًا غير طاهرة، ولا يمكن أن تصبح مقدسة أبدًا.</w:t>
      </w:r>
    </w:p>
    <w:p>
      <w:pPr>
        <w:bidi/>
      </w:pPr>
      <w:r>
        <w:rPr>
          <w:rtl/>
          <w:cs/>
          <w:lang w:val="ar_AE" w:bidi="ar_AE"/>
        </w:rPr>
      </w:r>
      <w:r>
        <w:rPr>
          <w:rtl/>
          <w:cs/>
          <w:lang w:val="ar_AE" w:bidi="ar_AE"/>
        </w:rPr>
        <w:t>في ظل العهد الجديد، أصبحت الأشياء التي كانت تُعتبر غير طاهرة الآن طاهرة (</w:t>
      </w:r>
      <w:r>
        <w:rPr>
          <w:rtl/>
          <w:cs/>
          <w:lang w:val="ar_AE" w:bidi="ar_AE"/>
        </w:rPr>
        <w:t>أعمال الرسل 10:15</w:t>
      </w:r>
      <w:r>
        <w:rPr>
          <w:rtl/>
          <w:cs/>
          <w:lang w:val="ar_AE" w:bidi="ar_AE"/>
        </w:rPr>
        <w:t xml:space="preserve">، </w:t>
      </w:r>
      <w:r>
        <w:rPr>
          <w:rtl/>
          <w:cs/>
          <w:lang w:val="ar_AE" w:bidi="ar_AE"/>
        </w:rPr>
        <w:t>28</w:t>
      </w:r>
      <w:r>
        <w:rPr>
          <w:rtl/>
          <w:cs/>
          <w:lang w:val="ar_AE" w:bidi="ar_AE"/>
        </w:rPr>
        <w:t xml:space="preserve">، </w:t>
      </w:r>
      <w:r>
        <w:rPr>
          <w:rtl/>
          <w:cs/>
          <w:lang w:val="ar_AE" w:bidi="ar_AE"/>
        </w:rPr>
        <w:t>45</w:t>
      </w:r>
      <w:r>
        <w:rPr>
          <w:rtl/>
          <w:cs/>
          <w:lang w:val="ar_AE" w:bidi="ar_AE"/>
        </w:rPr>
        <w:t>). ومع ذلك، لا يزال الله يُقدّر الترتيب ويريد أن تكون العبادة مُرتّبة ومُنظّمة (</w:t>
      </w:r>
      <w:r>
        <w:rPr>
          <w:rtl/>
          <w:cs/>
          <w:lang w:val="ar_AE" w:bidi="ar_AE"/>
        </w:rPr>
        <w:t xml:space="preserve">1 كورنثوس 14:33، </w:t>
      </w:r>
      <w:r>
        <w:rPr>
          <w:rtl/>
          <w:cs/>
          <w:lang w:val="ar_AE" w:bidi="ar_AE"/>
        </w:rPr>
        <w:t>40</w:t>
      </w:r>
      <w:r>
        <w:rPr>
          <w:rtl/>
          <w:cs/>
          <w:lang w:val="ar_AE" w:bidi="ar_AE"/>
        </w:rPr>
        <w:t xml:space="preserve">). يمنح الله نعمته لأولئك الذين يتوبون (أي يبتعدون عن أفعالهم الخاطئة ويرجعون إلى الله). ومع ذلك، لا تزال هناك أفعال تسيء إلى قداسة الله، ولا ينبغي أن تكون في حضوره (مثل تقدمة حنانيّا وسفّيرة؛ انظر </w:t>
      </w:r>
      <w:r>
        <w:rPr>
          <w:rtl/>
          <w:cs/>
          <w:lang w:val="ar_AE" w:bidi="ar_AE"/>
        </w:rPr>
        <w:t>أعمال الرسل 5:1–11</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تكوين 7:2</w:t>
      </w:r>
      <w:r>
        <w:rPr>
          <w:rtl/>
          <w:cs/>
          <w:lang w:val="ar_AE" w:bidi="ar_AE"/>
        </w:rPr>
        <w:t xml:space="preserve">; </w:t>
      </w:r>
      <w:r>
        <w:rPr>
          <w:rtl/>
          <w:cs/>
          <w:lang w:val="ar_AE" w:bidi="ar_AE"/>
        </w:rPr>
        <w:t>لاويين 11:1–15:33</w:t>
      </w:r>
      <w:r>
        <w:rPr>
          <w:rtl/>
          <w:cs/>
          <w:lang w:val="ar_AE" w:bidi="ar_AE"/>
        </w:rPr>
        <w:t xml:space="preserve">; </w:t>
      </w:r>
      <w:r>
        <w:rPr>
          <w:rtl/>
          <w:cs/>
          <w:lang w:val="ar_AE" w:bidi="ar_AE"/>
        </w:rPr>
        <w:t>21:1–23</w:t>
      </w:r>
      <w:r>
        <w:rPr>
          <w:rtl/>
          <w:cs/>
          <w:lang w:val="ar_AE" w:bidi="ar_AE"/>
        </w:rPr>
        <w:t xml:space="preserve">; </w:t>
      </w:r>
      <w:r>
        <w:rPr>
          <w:rtl/>
          <w:cs/>
          <w:lang w:val="ar_AE" w:bidi="ar_AE"/>
        </w:rPr>
        <w:t>22:3–8</w:t>
      </w:r>
      <w:r>
        <w:rPr>
          <w:rtl/>
          <w:cs/>
          <w:lang w:val="ar_AE" w:bidi="ar_AE"/>
        </w:rPr>
        <w:t xml:space="preserve">; </w:t>
      </w:r>
      <w:r>
        <w:rPr>
          <w:rtl/>
          <w:cs/>
          <w:lang w:val="ar_AE" w:bidi="ar_AE"/>
        </w:rPr>
        <w:t>عدد 19:1–22</w:t>
      </w:r>
      <w:r>
        <w:rPr>
          <w:rtl/>
          <w:cs/>
          <w:lang w:val="ar_AE" w:bidi="ar_AE"/>
        </w:rPr>
        <w:t xml:space="preserve">; </w:t>
      </w:r>
      <w:r>
        <w:rPr>
          <w:rtl/>
          <w:cs/>
          <w:lang w:val="ar_AE" w:bidi="ar_AE"/>
        </w:rPr>
        <w:t>تثنية 14:1–21</w:t>
      </w:r>
      <w:r>
        <w:rPr>
          <w:rtl/>
          <w:cs/>
          <w:lang w:val="ar_AE" w:bidi="ar_AE"/>
        </w:rPr>
        <w:t xml:space="preserve">; </w:t>
      </w:r>
      <w:r>
        <w:rPr>
          <w:rtl/>
          <w:cs/>
          <w:lang w:val="ar_AE" w:bidi="ar_AE"/>
        </w:rPr>
        <w:t>21:1–9</w:t>
      </w:r>
      <w:r>
        <w:rPr>
          <w:rtl/>
          <w:cs/>
          <w:lang w:val="ar_AE" w:bidi="ar_AE"/>
        </w:rPr>
        <w:t xml:space="preserve">; </w:t>
      </w:r>
      <w:r>
        <w:rPr>
          <w:rtl/>
          <w:cs/>
          <w:lang w:val="ar_AE" w:bidi="ar_AE"/>
        </w:rPr>
        <w:t>مزامير 19:9</w:t>
      </w:r>
      <w:r>
        <w:rPr>
          <w:rtl/>
          <w:cs/>
          <w:lang w:val="ar_AE" w:bidi="ar_AE"/>
        </w:rPr>
        <w:t xml:space="preserve">; </w:t>
      </w:r>
      <w:r>
        <w:rPr>
          <w:rtl/>
          <w:cs/>
          <w:lang w:val="ar_AE" w:bidi="ar_AE"/>
        </w:rPr>
        <w:t>24:3–4</w:t>
      </w:r>
      <w:r>
        <w:rPr>
          <w:rtl/>
          <w:cs/>
          <w:lang w:val="ar_AE" w:bidi="ar_AE"/>
        </w:rPr>
        <w:t xml:space="preserve">; </w:t>
      </w:r>
      <w:r>
        <w:rPr>
          <w:rtl/>
          <w:cs/>
          <w:lang w:val="ar_AE" w:bidi="ar_AE"/>
        </w:rPr>
        <w:t>51:7–10</w:t>
      </w:r>
      <w:r>
        <w:rPr>
          <w:rtl/>
          <w:cs/>
          <w:lang w:val="ar_AE" w:bidi="ar_AE"/>
        </w:rPr>
        <w:t xml:space="preserve">; </w:t>
      </w:r>
      <w:r>
        <w:rPr>
          <w:rtl/>
          <w:cs/>
          <w:lang w:val="ar_AE" w:bidi="ar_AE"/>
        </w:rPr>
        <w:t>إشعياء 52:11</w:t>
      </w:r>
      <w:r>
        <w:rPr>
          <w:rtl/>
          <w:cs/>
          <w:lang w:val="ar_AE" w:bidi="ar_AE"/>
        </w:rPr>
        <w:t xml:space="preserve">; </w:t>
      </w:r>
      <w:r>
        <w:rPr>
          <w:rtl/>
          <w:cs/>
          <w:lang w:val="ar_AE" w:bidi="ar_AE"/>
        </w:rPr>
        <w:t>متّى 8:2–4</w:t>
      </w:r>
      <w:r>
        <w:rPr>
          <w:rtl/>
          <w:cs/>
          <w:lang w:val="ar_AE" w:bidi="ar_AE"/>
        </w:rPr>
        <w:t xml:space="preserve">; </w:t>
      </w:r>
      <w:r>
        <w:rPr>
          <w:rtl/>
          <w:cs/>
          <w:lang w:val="ar_AE" w:bidi="ar_AE"/>
        </w:rPr>
        <w:t>يوحنّا 13:10–11</w:t>
      </w:r>
      <w:r>
        <w:rPr>
          <w:rtl/>
          <w:cs/>
          <w:lang w:val="ar_AE" w:bidi="ar_AE"/>
        </w:rPr>
        <w:t xml:space="preserve">; </w:t>
      </w:r>
      <w:r>
        <w:rPr>
          <w:rtl/>
          <w:cs/>
          <w:lang w:val="ar_AE" w:bidi="ar_AE"/>
        </w:rPr>
        <w:t>أعمال 10:9–28</w:t>
      </w:r>
      <w:r>
        <w:rPr>
          <w:rtl/>
          <w:cs/>
          <w:lang w:val="ar_AE" w:bidi="ar_AE"/>
        </w:rPr>
        <w:t xml:space="preserve">; </w:t>
      </w:r>
      <w:r>
        <w:rPr>
          <w:rtl/>
          <w:cs/>
          <w:lang w:val="ar_AE" w:bidi="ar_AE"/>
        </w:rPr>
        <w:t>عبرانيين 9:13–15</w:t>
      </w:r>
      <w:r>
        <w:rPr>
          <w:rtl/>
          <w:cs/>
          <w:lang w:val="ar_AE" w:bidi="ar_AE"/>
        </w:rPr>
        <w:t xml:space="preserve">, </w:t>
      </w:r>
      <w:r>
        <w:rPr>
          <w:rtl/>
          <w:cs/>
          <w:lang w:val="ar_AE" w:bidi="ar_AE"/>
        </w:rPr>
        <w:t>23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طلب الرب</w:t>
      </w:r>
      <w:r>
        <w:rPr>
          <w:rtl/>
          <w:cs/>
          <w:lang w:val="ar_AE" w:bidi="ar_AE"/>
        </w:rPr>
      </w:r>
    </w:p>
    <w:p>
      <w:pPr>
        <w:bidi/>
      </w:pPr>
      <w:r>
        <w:rPr>
          <w:rtl/>
          <w:cs/>
          <w:lang w:val="ar_AE" w:bidi="ar_AE"/>
        </w:rPr>
      </w:r>
      <w:r>
        <w:rPr>
          <w:rtl/>
          <w:cs/>
          <w:lang w:val="ar_AE" w:bidi="ar_AE"/>
        </w:rPr>
        <w:t>عندما كانت إسرائيل على وشك دخول أرض الموعد، أوصى موسى الشعب بأن يطلبوا معرفة "</w:t>
      </w:r>
      <w:r>
        <w:rPr>
          <w:rtl/>
          <w:cs/>
          <w:lang w:val="ar_AE" w:bidi="ar_AE"/>
        </w:rPr>
        <w:t>ٱلْمَكَانُ ٱلَّذِي يَخْتَارُهُ ٱلرَّبُّ إِلَهُكُمْ مِنْ جَمِيعِ أَسْبَاطِكُمْ"</w:t>
      </w:r>
      <w:r>
        <w:rPr>
          <w:rtl/>
          <w:cs/>
          <w:lang w:val="ar_AE" w:bidi="ar_AE"/>
        </w:rPr>
        <w:t xml:space="preserve"> (</w:t>
      </w:r>
      <w:r>
        <w:rPr>
          <w:rtl/>
          <w:cs/>
          <w:lang w:val="ar_AE" w:bidi="ar_AE"/>
        </w:rPr>
        <w:t>تثنية 12:5</w:t>
      </w:r>
      <w:r>
        <w:rPr>
          <w:rtl/>
          <w:cs/>
          <w:lang w:val="ar_AE" w:bidi="ar_AE"/>
        </w:rPr>
        <w:t>). أخبر موسى بني إسرائيل أن يوقفوا ممارسات العبادة الوثنية ويضعوا تركيزهم على عبادة الله دون سواه. وبنوا في البرية خيمة الاجتماع حيث كان الله يتجلى بحضوره، والناس يعبدونه. وعندما استقروا في أرض الموعد، أمرهم موسى ببناء المقدس الدائم.</w:t>
      </w:r>
    </w:p>
    <w:p>
      <w:pPr>
        <w:bidi/>
      </w:pPr>
      <w:r>
        <w:rPr>
          <w:rtl/>
          <w:cs/>
          <w:lang w:val="ar_AE" w:bidi="ar_AE"/>
        </w:rPr>
      </w:r>
      <w:r>
        <w:rPr>
          <w:rtl/>
          <w:cs/>
          <w:lang w:val="ar_AE" w:bidi="ar_AE"/>
        </w:rPr>
        <w:t>في أثناء حِقْبَة القضاة، كان شعب إسرائيل غالبًا ما يعبدون آلهة الأمم المجاورة، وليس عبادة الله الواحد الحق. عندما بدأ الملكوت، كان الأمل في أن تتحد الأمة كلها في عبادة الله. ومع ذلك، فقد الملك الأول شاول-ولو جزئيًا- المملكة وحياته أيضًا لأنه "</w:t>
      </w:r>
      <w:r>
        <w:rPr>
          <w:rtl/>
          <w:cs/>
          <w:lang w:val="ar_AE" w:bidi="ar_AE"/>
        </w:rPr>
        <w:t xml:space="preserve">طَلَب ٱلْجَانِّ" </w:t>
      </w:r>
      <w:r>
        <w:rPr>
          <w:rtl/>
          <w:cs/>
          <w:lang w:val="ar_AE" w:bidi="ar_AE"/>
        </w:rPr>
        <w:t>للحصول على الإرشاد ولم يطلب الرب (</w:t>
      </w:r>
      <w:r>
        <w:rPr>
          <w:rtl/>
          <w:cs/>
          <w:lang w:val="ar_AE" w:bidi="ar_AE"/>
        </w:rPr>
        <w:t>1أخبار الأيام 10:13–14</w:t>
      </w:r>
      <w:r>
        <w:rPr>
          <w:rtl/>
          <w:cs/>
          <w:lang w:val="ar_AE" w:bidi="ar_AE"/>
        </w:rPr>
        <w:t>). كثيرون من ملوك إسرائيل اتبعوا نموذج شاول في عصيانه، إذ قادوا الأمة إلى ممارسات دينية وثنية.</w:t>
      </w:r>
    </w:p>
    <w:p>
      <w:pPr>
        <w:bidi/>
      </w:pPr>
      <w:r>
        <w:rPr>
          <w:rtl/>
          <w:cs/>
          <w:lang w:val="ar_AE" w:bidi="ar_AE"/>
        </w:rPr>
      </w:r>
      <w:r>
        <w:rPr>
          <w:rtl/>
          <w:cs/>
          <w:lang w:val="ar_AE" w:bidi="ar_AE"/>
        </w:rPr>
        <w:t>على النقيض تمامًا كان الملك داود "</w:t>
      </w:r>
      <w:r>
        <w:rPr>
          <w:rtl/>
          <w:cs/>
          <w:lang w:val="ar_AE" w:bidi="ar_AE"/>
        </w:rPr>
        <w:t>رَجُلًا حَسَبَ قَلْبِهِ</w:t>
      </w:r>
      <w:r>
        <w:rPr>
          <w:rtl/>
          <w:cs/>
          <w:lang w:val="ar_AE" w:bidi="ar_AE"/>
        </w:rPr>
        <w:t>" (</w:t>
      </w:r>
      <w:r>
        <w:rPr>
          <w:rtl/>
          <w:cs/>
          <w:lang w:val="ar_AE" w:bidi="ar_AE"/>
        </w:rPr>
        <w:t>1صموئيل 13:14</w:t>
      </w:r>
      <w:r>
        <w:rPr>
          <w:rtl/>
          <w:cs/>
          <w:lang w:val="ar_AE" w:bidi="ar_AE"/>
        </w:rPr>
        <w:t>). كان من الأهداف الرئيسية لداود الملك استعادة مكانة تابوت العهد. فقد أهمله بنو إسرائيل في عهد شاول الملك (</w:t>
      </w:r>
      <w:r>
        <w:rPr>
          <w:rtl/>
          <w:cs/>
          <w:lang w:val="ar_AE" w:bidi="ar_AE"/>
        </w:rPr>
        <w:t>1أخبار الأيام 13:3</w:t>
      </w:r>
      <w:r>
        <w:rPr>
          <w:rtl/>
          <w:cs/>
          <w:lang w:val="ar_AE" w:bidi="ar_AE"/>
        </w:rPr>
        <w:t>).</w:t>
      </w:r>
    </w:p>
    <w:p>
      <w:pPr>
        <w:bidi/>
      </w:pPr>
      <w:r>
        <w:rPr>
          <w:rtl/>
          <w:cs/>
          <w:lang w:val="ar_AE" w:bidi="ar_AE"/>
        </w:rPr>
      </w:r>
      <w:r>
        <w:rPr>
          <w:rtl/>
          <w:cs/>
          <w:lang w:val="ar_AE" w:bidi="ar_AE"/>
        </w:rPr>
        <w:t>فشل داود في محاولته الأولى لإحضار التابوت إلى أورشليم، ذلك لأنه واللاويين معه لم يطلبوا إرشاد الرب من جهة طريقة نقله (</w:t>
      </w:r>
      <w:r>
        <w:rPr>
          <w:rtl/>
          <w:cs/>
          <w:lang w:val="ar_AE" w:bidi="ar_AE"/>
        </w:rPr>
        <w:t>13:1–14؛</w:t>
      </w:r>
      <w:r>
        <w:rPr>
          <w:rtl/>
          <w:cs/>
          <w:lang w:val="ar_AE" w:bidi="ar_AE"/>
        </w:rPr>
        <w:t xml:space="preserve"> </w:t>
      </w:r>
      <w:r>
        <w:rPr>
          <w:rtl/>
          <w:cs/>
          <w:lang w:val="ar_AE" w:bidi="ar_AE"/>
        </w:rPr>
        <w:t>15:13</w:t>
      </w:r>
      <w:r>
        <w:rPr>
          <w:rtl/>
          <w:cs/>
          <w:lang w:val="ar_AE" w:bidi="ar_AE"/>
        </w:rPr>
        <w:t>). لكن داود نجح لاحقًا في أن يأتي بتابوت الرب إلى أورشليم (</w:t>
      </w:r>
      <w:r>
        <w:rPr>
          <w:rtl/>
          <w:cs/>
          <w:lang w:val="ar_AE" w:bidi="ar_AE"/>
        </w:rPr>
        <w:t>15:1–16:1</w:t>
      </w:r>
      <w:r>
        <w:rPr>
          <w:rtl/>
          <w:cs/>
          <w:lang w:val="ar_AE" w:bidi="ar_AE"/>
        </w:rPr>
        <w:t>).</w:t>
      </w:r>
    </w:p>
    <w:p>
      <w:pPr>
        <w:bidi/>
      </w:pPr>
      <w:r>
        <w:rPr>
          <w:rtl/>
          <w:cs/>
          <w:lang w:val="ar_AE" w:bidi="ar_AE"/>
        </w:rPr>
      </w:r>
      <w:r>
        <w:rPr>
          <w:rtl/>
          <w:cs/>
          <w:lang w:val="ar_AE" w:bidi="ar_AE"/>
        </w:rPr>
        <w:t>كانت أورشليم (المكان المقدس) والعبادة فيها أمرين جوهريان لطلب الرب. بعد وضع التابوت في خيمته في أورشليم، أنشأ داود دورًا جديدًا للاويين بصفتهم خدّام تسبيح للرب بالموسيقى (</w:t>
      </w:r>
      <w:r>
        <w:rPr>
          <w:rtl/>
          <w:cs/>
          <w:lang w:val="ar_AE" w:bidi="ar_AE"/>
        </w:rPr>
        <w:t>1أخبار الأيام 16:4–6</w:t>
      </w:r>
      <w:r>
        <w:rPr>
          <w:rtl/>
          <w:cs/>
          <w:lang w:val="ar_AE" w:bidi="ar_AE"/>
        </w:rPr>
        <w:t>). كان داود يحث القادة باستمرار على "</w:t>
      </w:r>
      <w:r>
        <w:rPr>
          <w:rtl/>
          <w:cs/>
          <w:lang w:val="ar_AE" w:bidi="ar_AE"/>
        </w:rPr>
        <w:t>طَلَب ٱلرَّبّ إِلَهِكُمْ،</w:t>
      </w:r>
      <w:r>
        <w:rPr>
          <w:rtl/>
          <w:cs/>
          <w:lang w:val="ar_AE" w:bidi="ar_AE"/>
        </w:rPr>
        <w:t>" في أثناء بناء الهيكل (</w:t>
      </w:r>
      <w:r>
        <w:rPr>
          <w:rtl/>
          <w:cs/>
          <w:lang w:val="ar_AE" w:bidi="ar_AE"/>
        </w:rPr>
        <w:t>22:19؛</w:t>
      </w:r>
      <w:r>
        <w:rPr>
          <w:rtl/>
          <w:cs/>
          <w:lang w:val="ar_AE" w:bidi="ar_AE"/>
        </w:rPr>
        <w:t xml:space="preserve"> قارن </w:t>
      </w:r>
      <w:r>
        <w:rPr>
          <w:rtl/>
          <w:cs/>
          <w:lang w:val="ar_AE" w:bidi="ar_AE"/>
        </w:rPr>
        <w:t>28:8–10</w:t>
      </w:r>
      <w:r>
        <w:rPr>
          <w:rtl/>
          <w:cs/>
          <w:lang w:val="ar_AE" w:bidi="ar_AE"/>
        </w:rPr>
        <w:t>).</w:t>
      </w:r>
    </w:p>
    <w:p>
      <w:pPr>
        <w:bidi/>
      </w:pPr>
      <w:r>
        <w:rPr>
          <w:rtl/>
          <w:cs/>
          <w:lang w:val="ar_AE" w:bidi="ar_AE"/>
        </w:rPr>
      </w:r>
      <w:r>
        <w:rPr>
          <w:rtl/>
          <w:cs/>
          <w:lang w:val="ar_AE" w:bidi="ar_AE"/>
        </w:rPr>
        <w:t>كانت الخطوة الأولى للملك سليمان لتعزيز المملكة هي جمع جميع القادة عند المذبح في جبعون لطلب الرب (</w:t>
      </w:r>
      <w:r>
        <w:rPr>
          <w:rtl/>
          <w:cs/>
          <w:lang w:val="ar_AE" w:bidi="ar_AE"/>
        </w:rPr>
        <w:t>2أخبار الأيام 1:1–6</w:t>
      </w:r>
      <w:r>
        <w:rPr>
          <w:rtl/>
          <w:cs/>
          <w:lang w:val="ar_AE" w:bidi="ar_AE"/>
        </w:rPr>
        <w:t>). التقى الرب بسليمان هناك ومنحه حكمة وثروة لا مثيل لهما. ثم أكمل سليمان لاحقًا بناء الهيكل وأسسها باعتبارها موضعًا لطلب الرب (</w:t>
      </w:r>
      <w:r>
        <w:rPr>
          <w:rtl/>
          <w:cs/>
          <w:lang w:val="ar_AE" w:bidi="ar_AE"/>
        </w:rPr>
        <w:t>2أخبار الأيام 6</w:t>
      </w:r>
      <w:r>
        <w:rPr>
          <w:rtl/>
          <w:cs/>
          <w:lang w:val="ar_AE" w:bidi="ar_AE"/>
        </w:rPr>
        <w:t>).</w:t>
      </w:r>
    </w:p>
    <w:p>
      <w:pPr>
        <w:bidi/>
      </w:pPr>
      <w:r>
        <w:rPr>
          <w:rtl/>
          <w:cs/>
          <w:lang w:val="ar_AE" w:bidi="ar_AE"/>
        </w:rPr>
      </w:r>
      <w:r>
        <w:rPr>
          <w:rtl/>
          <w:cs/>
          <w:lang w:val="ar_AE" w:bidi="ar_AE"/>
        </w:rPr>
        <w:t>كما حث النبي إشعياء الشعب الذي ينتظر وعود الله على طلب الرب. "</w:t>
      </w:r>
      <w:r>
        <w:rPr>
          <w:rtl/>
          <w:cs/>
          <w:lang w:val="ar_AE" w:bidi="ar_AE"/>
        </w:rPr>
        <w:t>اُطْلُبُوا ٱلرَّبَّ مَا دَامَ يُوجَدُ. ٱدْعُوهُ وَهُوَ قَرِيبٌ.</w:t>
      </w:r>
      <w:r>
        <w:rPr>
          <w:rtl/>
          <w:cs/>
          <w:lang w:val="ar_AE" w:bidi="ar_AE"/>
        </w:rPr>
        <w:t>" (</w:t>
      </w:r>
      <w:r>
        <w:rPr>
          <w:rtl/>
          <w:cs/>
          <w:lang w:val="ar_AE" w:bidi="ar_AE"/>
        </w:rPr>
        <w:t>إشعياء 55:6</w:t>
      </w:r>
      <w:r>
        <w:rPr>
          <w:rtl/>
          <w:cs/>
          <w:lang w:val="ar_AE" w:bidi="ar_AE"/>
        </w:rPr>
        <w:t>). إن عهد الله ووعده مؤكدان، وهما لمن يطلبون الرب (</w:t>
      </w:r>
      <w:r>
        <w:rPr>
          <w:rtl/>
          <w:cs/>
          <w:lang w:val="ar_AE" w:bidi="ar_AE"/>
        </w:rPr>
        <w:t>55:3</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1أخبار الأيام 10:13–14</w:t>
      </w:r>
      <w:r>
        <w:rPr>
          <w:rtl/>
          <w:cs/>
          <w:lang w:val="ar_AE" w:bidi="ar_AE"/>
        </w:rPr>
        <w:t xml:space="preserve">؛ </w:t>
      </w:r>
      <w:r>
        <w:rPr>
          <w:rtl/>
          <w:cs/>
          <w:lang w:val="ar_AE" w:bidi="ar_AE"/>
        </w:rPr>
        <w:t>13:3</w:t>
      </w:r>
      <w:r>
        <w:rPr>
          <w:rtl/>
          <w:cs/>
          <w:lang w:val="ar_AE" w:bidi="ar_AE"/>
        </w:rPr>
        <w:t xml:space="preserve">؛ </w:t>
      </w:r>
      <w:r>
        <w:rPr>
          <w:rtl/>
          <w:cs/>
          <w:lang w:val="ar_AE" w:bidi="ar_AE"/>
        </w:rPr>
        <w:t>16:11–13</w:t>
      </w:r>
      <w:r>
        <w:rPr>
          <w:rtl/>
          <w:cs/>
          <w:lang w:val="ar_AE" w:bidi="ar_AE"/>
        </w:rPr>
        <w:t xml:space="preserve">؛ </w:t>
      </w:r>
      <w:r>
        <w:rPr>
          <w:rtl/>
          <w:cs/>
          <w:lang w:val="ar_AE" w:bidi="ar_AE"/>
        </w:rPr>
        <w:t>22:19</w:t>
      </w:r>
      <w:r>
        <w:rPr>
          <w:rtl/>
          <w:cs/>
          <w:lang w:val="ar_AE" w:bidi="ar_AE"/>
        </w:rPr>
        <w:t xml:space="preserve">؛ </w:t>
      </w:r>
      <w:r>
        <w:rPr>
          <w:rtl/>
          <w:cs/>
          <w:lang w:val="ar_AE" w:bidi="ar_AE"/>
        </w:rPr>
        <w:t>28:8–10</w:t>
      </w:r>
      <w:r>
        <w:rPr>
          <w:rtl/>
          <w:cs/>
          <w:lang w:val="ar_AE" w:bidi="ar_AE"/>
        </w:rPr>
        <w:t xml:space="preserve">؛ </w:t>
      </w:r>
      <w:r>
        <w:rPr>
          <w:rtl/>
          <w:cs/>
          <w:lang w:val="ar_AE" w:bidi="ar_AE"/>
        </w:rPr>
        <w:t>2أخبار الأيام 6:19–40</w:t>
      </w:r>
      <w:r>
        <w:rPr>
          <w:rtl/>
          <w:cs/>
          <w:lang w:val="ar_AE" w:bidi="ar_AE"/>
        </w:rPr>
        <w:t xml:space="preserve">؛ </w:t>
      </w:r>
      <w:r>
        <w:rPr>
          <w:rtl/>
          <w:cs/>
          <w:lang w:val="ar_AE" w:bidi="ar_AE"/>
        </w:rPr>
        <w:t>7:14</w:t>
      </w:r>
      <w:r>
        <w:rPr>
          <w:rtl/>
          <w:cs/>
          <w:lang w:val="ar_AE" w:bidi="ar_AE"/>
        </w:rPr>
        <w:t xml:space="preserve">؛ </w:t>
      </w:r>
      <w:r>
        <w:rPr>
          <w:rtl/>
          <w:cs/>
          <w:lang w:val="ar_AE" w:bidi="ar_AE"/>
        </w:rPr>
        <w:t>المزامير 27:4–8</w:t>
      </w:r>
      <w:r>
        <w:rPr>
          <w:rtl/>
          <w:cs/>
          <w:lang w:val="ar_AE" w:bidi="ar_AE"/>
        </w:rPr>
        <w:t xml:space="preserve">؛ </w:t>
      </w:r>
      <w:r>
        <w:rPr>
          <w:rtl/>
          <w:cs/>
          <w:lang w:val="ar_AE" w:bidi="ar_AE"/>
        </w:rPr>
        <w:t>105:4–6</w:t>
      </w:r>
      <w:r>
        <w:rPr>
          <w:rtl/>
          <w:cs/>
          <w:lang w:val="ar_AE" w:bidi="ar_AE"/>
        </w:rPr>
        <w:t xml:space="preserve">؛ </w:t>
      </w:r>
      <w:r>
        <w:rPr>
          <w:rtl/>
          <w:cs/>
          <w:lang w:val="ar_AE" w:bidi="ar_AE"/>
        </w:rPr>
        <w:t>إشعياء 55:6–7</w:t>
      </w:r>
      <w:r>
        <w:rPr>
          <w:rtl/>
          <w:cs/>
          <w:lang w:val="ar_AE" w:bidi="ar_AE"/>
        </w:rPr>
        <w:t xml:space="preserve">؛ </w:t>
      </w:r>
      <w:r>
        <w:rPr>
          <w:rtl/>
          <w:cs/>
          <w:lang w:val="ar_AE" w:bidi="ar_AE"/>
        </w:rPr>
        <w:t>إرميا 29:13–14</w:t>
      </w:r>
      <w:r>
        <w:rPr>
          <w:rtl/>
          <w:cs/>
          <w:lang w:val="ar_AE" w:bidi="ar_AE"/>
        </w:rPr>
        <w:t xml:space="preserve">؛ </w:t>
      </w:r>
      <w:r>
        <w:rPr>
          <w:rtl/>
          <w:cs/>
          <w:lang w:val="ar_AE" w:bidi="ar_AE"/>
        </w:rPr>
        <w:t>متى 6:31–33</w:t>
      </w:r>
      <w:r>
        <w:rPr>
          <w:rtl/>
          <w:cs/>
          <w:lang w:val="ar_AE" w:bidi="ar_AE"/>
        </w:rPr>
        <w:t xml:space="preserve">؛ </w:t>
      </w:r>
      <w:r>
        <w:rPr>
          <w:rtl/>
          <w:cs/>
          <w:lang w:val="ar_AE" w:bidi="ar_AE"/>
        </w:rPr>
        <w:t>رومية 2:7.</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