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الهرطقات المسيحية المبكرة</w:t>
      </w:r>
      <w:r>
        <w:rPr>
          <w:rtl/>
          <w:cs/>
          <w:lang w:val="ar_AE" w:bidi="ar_AE"/>
        </w:rPr>
      </w:r>
    </w:p>
    <w:p>
      <w:pPr>
        <w:pStyle w:val="Heading3"/>
        <w:bidi/>
      </w:pPr>
      <w:r>
        <w:rPr>
          <w:rtl/>
          <w:cs/>
          <w:lang w:val="ar_AE" w:bidi="ar_AE"/>
        </w:rPr>
        <w:t>الهرطقة (البدعة)</w:t>
      </w:r>
    </w:p>
    <w:p>
      <w:pPr>
        <w:bidi/>
      </w:pPr>
      <w:r>
        <w:rPr>
          <w:rtl/>
          <w:cs/>
          <w:lang w:val="ar_AE" w:bidi="ar_AE"/>
        </w:rPr>
      </w:r>
      <w:r>
        <w:rPr>
          <w:rtl/>
          <w:cs/>
          <w:lang w:val="ar_AE" w:bidi="ar_AE"/>
        </w:rPr>
        <w:t>الكلمة اليونانية "هيريسيس" (</w:t>
      </w:r>
      <w:r>
        <w:rPr>
          <w:i/>
          <w:rtl/>
          <w:cs/>
          <w:lang w:val="ar_AE" w:bidi="ar_AE"/>
        </w:rPr>
        <w:t>hairesis</w:t>
      </w:r>
      <w:r>
        <w:rPr>
          <w:rtl/>
          <w:cs/>
          <w:lang w:val="ar_AE" w:bidi="ar_AE"/>
        </w:rPr>
        <w:t>)، التي تعني مبدئيًّا "خيار"، تشير إلى طائفة أو شيعة أو فصيل. على سبيل المثال، كان الصدوقيون طائفة (شيعة) داخل الديانة اليهودية، وكذلك الفريسيون أيضًا (</w:t>
      </w:r>
      <w:r>
        <w:rPr>
          <w:rtl/>
          <w:cs/>
          <w:lang w:val="ar_AE" w:bidi="ar_AE"/>
        </w:rPr>
        <w:t>أعمال الرسل 5: 17</w:t>
      </w:r>
      <w:r>
        <w:rPr>
          <w:rtl/>
          <w:cs/>
          <w:lang w:val="ar_AE" w:bidi="ar_AE"/>
        </w:rPr>
        <w:t xml:space="preserve">؛ </w:t>
      </w:r>
      <w:r>
        <w:rPr>
          <w:rtl/>
          <w:cs/>
          <w:lang w:val="ar_AE" w:bidi="ar_AE"/>
        </w:rPr>
        <w:t>15: 5</w:t>
      </w:r>
      <w:r>
        <w:rPr>
          <w:rtl/>
          <w:cs/>
          <w:lang w:val="ar_AE" w:bidi="ar_AE"/>
        </w:rPr>
        <w:t>). وقد أُطلِق على المؤمنين الأوائل بيسوع المسيا اسم "شيعة الناصريين" (</w:t>
      </w:r>
      <w:r>
        <w:rPr>
          <w:rtl/>
          <w:cs/>
          <w:lang w:val="ar_AE" w:bidi="ar_AE"/>
        </w:rPr>
        <w:t>أعمال الرسل 24: 5</w:t>
      </w:r>
      <w:r>
        <w:rPr>
          <w:rtl/>
          <w:cs/>
          <w:lang w:val="ar_AE" w:bidi="ar_AE"/>
        </w:rPr>
        <w:t>). في كل أية من هذه الآيات، كانت كلمة "هيريسيس" تعني ببساطة جماعة أو طائفة أو شيعة.</w:t>
      </w:r>
    </w:p>
    <w:p>
      <w:pPr>
        <w:bidi/>
      </w:pPr>
      <w:r>
        <w:rPr>
          <w:rtl/>
          <w:cs/>
          <w:lang w:val="ar_AE" w:bidi="ar_AE"/>
        </w:rPr>
      </w:r>
      <w:r>
        <w:rPr>
          <w:rtl/>
          <w:cs/>
          <w:lang w:val="ar_AE" w:bidi="ar_AE"/>
        </w:rPr>
        <w:t>ومع توسُّع الكنيسة وامتدادها، صاروا يطلقون على أي جماعة مثيرة للشقاقات داخل أي كنيسة محلية الاسم "هيريسيس". يشير هذا المصطلح إلى طائفة ذات معتقدات متعارضة مع الحقائق التي علَّمها الرسل. وقد حذر بولس كنيسة كورنثوس من نشأة جماعات مثيرة للشقاقات فيما بينهم (</w:t>
      </w:r>
      <w:r>
        <w:rPr>
          <w:rtl/>
          <w:cs/>
          <w:lang w:val="ar_AE" w:bidi="ar_AE"/>
        </w:rPr>
        <w:t>1كورنثوس 11: 19</w:t>
      </w:r>
      <w:r>
        <w:rPr>
          <w:rtl/>
          <w:cs/>
          <w:lang w:val="ar_AE" w:bidi="ar_AE"/>
        </w:rPr>
        <w:t>).</w:t>
      </w:r>
    </w:p>
    <w:p>
      <w:pPr>
        <w:bidi/>
      </w:pPr>
      <w:r>
        <w:rPr>
          <w:rtl/>
          <w:cs/>
          <w:lang w:val="ar_AE" w:bidi="ar_AE"/>
        </w:rPr>
      </w:r>
      <w:r>
        <w:rPr>
          <w:rtl/>
          <w:cs/>
          <w:lang w:val="ar_AE" w:bidi="ar_AE"/>
        </w:rPr>
        <w:t>في النهاية، أصبحت كلمة Heresy (هرطقة) تشير إلى التعليم الحائد عن المعيار الصحيح، والذي يجعل الناس يتخلُّون عن الإيمان القويم (أي المعتقدات التقليدية والثابتة). حذر بطرس المؤمنين من المعلِّمين الكذبة الذين سيحاولون تضليل المؤمنين من خلال "بِدَعَ هَلَاكٍ" (</w:t>
      </w:r>
      <w:r>
        <w:rPr>
          <w:rtl/>
          <w:cs/>
          <w:lang w:val="ar_AE" w:bidi="ar_AE"/>
        </w:rPr>
        <w:t>2بطرس 2: 1</w:t>
      </w:r>
      <w:r>
        <w:rPr>
          <w:rtl/>
          <w:cs/>
          <w:lang w:val="ar_AE" w:bidi="ar_AE"/>
        </w:rPr>
        <w:t>). واليوم، صار هذا هو الفهم المعتاد لكلمة heresy (بدعة أو هرطقة). فهي تشير إلى التعليم الكاذب الذي يضر بإيمان بعض المؤمنين ويسبب شقاقات داخل الكنيسة.</w:t>
      </w:r>
    </w:p>
    <w:p>
      <w:pPr>
        <w:pStyle w:val="Heading3"/>
        <w:bidi/>
      </w:pPr>
      <w:r>
        <w:rPr>
          <w:rtl/>
          <w:cs/>
          <w:lang w:val="ar_AE" w:bidi="ar_AE"/>
        </w:rPr>
        <w:t>هرطقتان (بدعتان) مبكرتان</w:t>
      </w:r>
    </w:p>
    <w:p>
      <w:pPr>
        <w:bidi/>
      </w:pPr>
      <w:r>
        <w:rPr>
          <w:rtl/>
          <w:cs/>
          <w:lang w:val="ar_AE" w:bidi="ar_AE"/>
        </w:rPr>
      </w:r>
      <w:r>
        <w:rPr>
          <w:rtl/>
          <w:cs/>
          <w:lang w:val="ar_AE" w:bidi="ar_AE"/>
        </w:rPr>
        <w:t>كانت هناك هرطقتان رئيسيتان شائعتان في الكنيسة في أيام الرسول يوحنا، وهما الغنوسية والدوسيتية.</w:t>
      </w:r>
    </w:p>
    <w:p>
      <w:pPr>
        <w:pStyle w:val="Heading4"/>
        <w:bidi/>
      </w:pPr>
      <w:r>
        <w:rPr>
          <w:rtl/>
          <w:cs/>
          <w:lang w:val="ar_AE" w:bidi="ar_AE"/>
        </w:rPr>
        <w:t>الغنوسية</w:t>
      </w:r>
    </w:p>
    <w:p>
      <w:pPr>
        <w:bidi/>
      </w:pPr>
      <w:r>
        <w:rPr>
          <w:rtl/>
          <w:cs/>
          <w:lang w:val="ar_AE" w:bidi="ar_AE"/>
        </w:rPr>
      </w:r>
      <w:r>
        <w:rPr>
          <w:rtl/>
          <w:cs/>
          <w:lang w:val="ar_AE" w:bidi="ar_AE"/>
        </w:rPr>
        <w:t>ادَّعت الغنوسية تمتُّع أنصارها بمعرفة روحية خاصة وسرية. اعتقد العديد من الغنوسيين بوجود تسلسل هرمي للكائنات، حيث يحتل الله الأزلي القمة، ومنه انبثقت مجموعة من الكائنات الروحية الأدنى. وضمن هذه الكائنات الإله الخالق، الذي يُحسَب شريرًا. وهذا الإله الخالق هو الذي خلق العالم المادي، الذي يشمل البشر أيضًا.</w:t>
      </w:r>
    </w:p>
    <w:p>
      <w:pPr>
        <w:bidi/>
      </w:pPr>
      <w:r>
        <w:rPr>
          <w:rtl/>
          <w:cs/>
          <w:lang w:val="ar_AE" w:bidi="ar_AE"/>
        </w:rPr>
      </w:r>
      <w:r>
        <w:rPr>
          <w:rtl/>
          <w:cs/>
          <w:lang w:val="ar_AE" w:bidi="ar_AE"/>
        </w:rPr>
        <w:t xml:space="preserve">على غرار تعاليم الفيلسوف اليوناني أفلاطون، اعتقد هؤلاء الغنوسيون بأن كلَّ ما هو مادي هو شرٌّ، وبأنه يوجد عالم روحي "حقيقي". وكان هدفهم هو البحث عن "البذار" الروحية داخل ذواتهم من خلال "المعرفة" (في اليونانية </w:t>
      </w:r>
      <w:r>
        <w:rPr>
          <w:i/>
          <w:rtl/>
          <w:cs/>
          <w:lang w:val="ar_AE" w:bidi="ar_AE"/>
        </w:rPr>
        <w:t>gnōsis</w:t>
      </w:r>
      <w:r>
        <w:rPr>
          <w:rtl/>
          <w:cs/>
          <w:lang w:val="ar_AE" w:bidi="ar_AE"/>
        </w:rPr>
        <w:t>) السرية.</w:t>
      </w:r>
    </w:p>
    <w:p>
      <w:pPr>
        <w:bidi/>
      </w:pPr>
      <w:r>
        <w:rPr>
          <w:rtl/>
          <w:cs/>
          <w:lang w:val="ar_AE" w:bidi="ar_AE"/>
        </w:rPr>
      </w:r>
      <w:r>
        <w:rPr>
          <w:rtl/>
          <w:cs/>
          <w:lang w:val="ar_AE" w:bidi="ar_AE"/>
        </w:rPr>
        <w:t>هذه المعرفة ستساعدهم على الخروج من العالم المادي والانضمام إلى العالم الروحي. أسفر هذا الاعتقاد عن ردود فعل مختلفة تجاه العالم المادي. فقد تجنَّب بعض الغنوسيين المتعة الجسدية في تشدُّد، بينما عاش آخرون في حرية تامة متَّبعين رغباتهم الجسدية، وحاسبين أن أفعالهم لا تمثل أهمية.</w:t>
      </w:r>
    </w:p>
    <w:p>
      <w:pPr>
        <w:bidi/>
      </w:pPr>
      <w:r>
        <w:rPr>
          <w:rtl/>
          <w:cs/>
          <w:lang w:val="ar_AE" w:bidi="ar_AE"/>
        </w:rPr>
      </w:r>
      <w:r>
        <w:rPr>
          <w:rtl/>
          <w:cs/>
          <w:lang w:val="ar_AE" w:bidi="ar_AE"/>
        </w:rPr>
        <w:t>نشأت الغنوسية من دمج المسيحية مع الفلسفة اليونانية، وشدَّدت على الحاجة إلى معرفة خاصة تُغيِّر المعتقدات والممارسات المسيحية التقليدية. وكثيرًا ما أدرج الغنوسيون المسيح في معتقداتهم، معتبرين إياه واحدًا من العديد من "الانبثاقات" من كائن أسمى. اعتقد العديد من الغنوسيين أن المسيح علَّم بعض أتباعه كيفية العثور على "الشرارة" الروحية بداخلهم، وكيفية التواصل مع العالم الروحي.</w:t>
      </w:r>
    </w:p>
    <w:p>
      <w:pPr>
        <w:bidi/>
      </w:pPr>
      <w:r>
        <w:rPr>
          <w:rtl/>
          <w:cs/>
          <w:lang w:val="ar_AE" w:bidi="ar_AE"/>
        </w:rPr>
      </w:r>
      <w:r>
        <w:rPr>
          <w:rtl/>
          <w:cs/>
          <w:lang w:val="ar_AE" w:bidi="ar_AE"/>
        </w:rPr>
        <w:t>العديد من الكتابات المسيحية في القرنين الأول والثاني تصدَّت للتعاليم الغنوسية الكاذبة.</w:t>
      </w:r>
    </w:p>
    <w:p>
      <w:pPr>
        <w:pStyle w:val="Heading4"/>
        <w:bidi/>
      </w:pPr>
      <w:r>
        <w:rPr>
          <w:rtl/>
          <w:cs/>
          <w:lang w:val="ar_AE" w:bidi="ar_AE"/>
        </w:rPr>
        <w:t>الدوسيتية</w:t>
      </w:r>
    </w:p>
    <w:p>
      <w:pPr>
        <w:bidi/>
      </w:pPr>
      <w:r>
        <w:rPr>
          <w:rtl/>
          <w:cs/>
          <w:lang w:val="ar_AE" w:bidi="ar_AE"/>
        </w:rPr>
      </w:r>
      <w:r>
        <w:rPr>
          <w:rtl/>
          <w:cs/>
          <w:lang w:val="ar_AE" w:bidi="ar_AE"/>
        </w:rPr>
        <w:t>كانت الدوسيتية نوعًا من الغنوسية. وقد علَّمت بأن المسيح بدا فقط وكأن له جسدًا بشريًا، في ميلاده الجسدي، وموته، وقيامته. الفعل "دوكيو" (</w:t>
      </w:r>
      <w:r>
        <w:rPr>
          <w:i/>
          <w:rtl/>
          <w:cs/>
          <w:lang w:val="ar_AE" w:bidi="ar_AE"/>
        </w:rPr>
        <w:t>dokeo</w:t>
      </w:r>
      <w:r>
        <w:rPr>
          <w:rtl/>
          <w:cs/>
          <w:lang w:val="ar_AE" w:bidi="ar_AE"/>
        </w:rPr>
        <w:t>) هو فعل يوناني معناه "يبدو" أو "يظهر".</w:t>
      </w:r>
    </w:p>
    <w:p>
      <w:pPr>
        <w:bidi/>
      </w:pPr>
      <w:r>
        <w:rPr>
          <w:rtl/>
          <w:cs/>
          <w:lang w:val="ar_AE" w:bidi="ar_AE"/>
        </w:rPr>
      </w:r>
      <w:r>
        <w:rPr>
          <w:rtl/>
          <w:cs/>
          <w:lang w:val="ar_AE" w:bidi="ar_AE"/>
        </w:rPr>
        <w:t>ادَّعى أحد الدوسيتيين الأوائل الذي يُدعى سيرنثوس أن "المسيح" الروحي انضم إلى يسوع البشري عند معموديته. وقد ظل موجودًا طوال فترة خدمته، لكنه فارقه قبل آلامه وموته. كانت هذه الحركة تَأمَل في حماية ألوهية الله من أن تتلوَّث بطبيعة يسوع البشرية. ووفقًا لتقليد الكنيسة الأولى، عارض الرسول يوحنا بشدة تعاليم سيرنثوس (انظر إيريناوس، "ضد الهرطقات</w:t>
      </w:r>
      <w:r>
        <w:rPr>
          <w:i/>
          <w:rtl/>
          <w:cs/>
          <w:lang w:val="ar_AE" w:bidi="ar_AE"/>
        </w:rPr>
        <w:t>"</w:t>
      </w:r>
      <w:r>
        <w:rPr>
          <w:rtl/>
          <w:cs/>
          <w:lang w:val="ar_AE" w:bidi="ar_AE"/>
        </w:rPr>
        <w:t xml:space="preserve"> 3.3.4؛ قارن ذلك مع </w:t>
      </w:r>
      <w:r>
        <w:rPr>
          <w:rtl/>
          <w:cs/>
          <w:lang w:val="ar_AE" w:bidi="ar_AE"/>
        </w:rPr>
        <w:t>1يوحنا 5: 5–8</w:t>
      </w:r>
      <w:r>
        <w:rPr>
          <w:rtl/>
          <w:cs/>
          <w:lang w:val="ar_AE" w:bidi="ar_AE"/>
        </w:rPr>
        <w:t xml:space="preserve">؛ </w:t>
      </w:r>
      <w:r>
        <w:rPr>
          <w:rtl/>
          <w:cs/>
          <w:lang w:val="ar_AE" w:bidi="ar_AE"/>
        </w:rPr>
        <w:t>2يوحنا 1: 7</w:t>
      </w:r>
      <w:r>
        <w:rPr>
          <w:rtl/>
          <w:cs/>
          <w:lang w:val="ar_AE" w:bidi="ar_AE"/>
        </w:rPr>
        <w:t>).</w:t>
      </w:r>
    </w:p>
    <w:p>
      <w:pPr>
        <w:bidi/>
      </w:pPr>
      <w:r>
        <w:rPr>
          <w:rtl/>
          <w:cs/>
          <w:lang w:val="ar_AE" w:bidi="ar_AE"/>
        </w:rPr>
      </w:r>
      <w:r>
        <w:rPr>
          <w:rtl/>
          <w:cs/>
          <w:lang w:val="ar_AE" w:bidi="ar_AE"/>
        </w:rPr>
        <w:t>يؤمن المسيحيون الحقيقيون بالتجسد، الذي به أصبح الله إنسانًا حقيقيًا له لحم ودم في شخص يسوع الناصري. كان ناسوت يسوع حقيقيًّا. فقد كان إنسانًا حقيقيًا اشترك معنا في اللحم والدم، كي يتمكن من أن يخلص البشر بلحمه ودمه.</w:t>
      </w:r>
    </w:p>
    <w:p>
      <w:pPr>
        <w:bidi/>
      </w:pPr>
      <w:r>
        <w:rPr>
          <w:rtl/>
          <w:cs/>
          <w:lang w:val="ar_AE" w:bidi="ar_AE"/>
        </w:rPr>
      </w:r>
      <w:r>
        <w:rPr>
          <w:rtl/>
          <w:cs/>
          <w:lang w:val="ar_AE" w:bidi="ar_AE"/>
        </w:rPr>
        <w:t>كان إغناطيوس تلميذًا للرسول يوحنا، وأصبح لاحقًا أسقف أنطاكية. وقد كتب رسائل ضد الدوسيتية. ويُعتبر إغناطيوس أول شخص بعد كُتَّاب العهد الجديد يَذكُر ميلاد يسوع العذراوي. وشدَّد أيضًا على أن الرسل لمسوا جسد ربِّهم القائم من بين الأموات. وأشار إغناطيوس إلى أنه يستطيع أن يواجه الاستشهاد (الموت في سبيل المعتقدات) بشجاعة بسبب آلام يسوع المسيح الحقيقية على الصليب وقيامته بالجسد.</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8: 9–24</w:t>
      </w:r>
      <w:r>
        <w:rPr>
          <w:rtl/>
          <w:cs/>
          <w:lang w:val="ar_AE" w:bidi="ar_AE"/>
        </w:rPr>
        <w:t xml:space="preserve">؛ </w:t>
      </w:r>
      <w:r>
        <w:rPr>
          <w:rtl/>
          <w:cs/>
          <w:lang w:val="ar_AE" w:bidi="ar_AE"/>
        </w:rPr>
        <w:t>2كورنثوس 11: 1–15</w:t>
      </w:r>
      <w:r>
        <w:rPr>
          <w:rtl/>
          <w:cs/>
          <w:lang w:val="ar_AE" w:bidi="ar_AE"/>
        </w:rPr>
        <w:t xml:space="preserve">؛ </w:t>
      </w:r>
      <w:r>
        <w:rPr>
          <w:rtl/>
          <w:cs/>
          <w:lang w:val="ar_AE" w:bidi="ar_AE"/>
        </w:rPr>
        <w:t>كولوسي 1: 23</w:t>
      </w:r>
      <w:r>
        <w:rPr>
          <w:rtl/>
          <w:cs/>
          <w:lang w:val="ar_AE" w:bidi="ar_AE"/>
        </w:rPr>
        <w:t xml:space="preserve">؛ </w:t>
      </w:r>
      <w:r>
        <w:rPr>
          <w:rtl/>
          <w:cs/>
          <w:lang w:val="ar_AE" w:bidi="ar_AE"/>
        </w:rPr>
        <w:t>2:6–23</w:t>
      </w:r>
      <w:r>
        <w:rPr>
          <w:rtl/>
          <w:cs/>
          <w:lang w:val="ar_AE" w:bidi="ar_AE"/>
        </w:rPr>
        <w:t xml:space="preserve">؛ </w:t>
      </w:r>
      <w:r>
        <w:rPr>
          <w:rtl/>
          <w:cs/>
          <w:lang w:val="ar_AE" w:bidi="ar_AE"/>
        </w:rPr>
        <w:t>1تيموثاوس 6: 20</w:t>
      </w:r>
      <w:r>
        <w:rPr>
          <w:rtl/>
          <w:cs/>
          <w:lang w:val="ar_AE" w:bidi="ar_AE"/>
        </w:rPr>
        <w:t xml:space="preserve">؛ </w:t>
      </w:r>
      <w:r>
        <w:rPr>
          <w:rtl/>
          <w:cs/>
          <w:lang w:val="ar_AE" w:bidi="ar_AE"/>
        </w:rPr>
        <w:t>2بطرس 2: 1–22</w:t>
      </w:r>
      <w:r>
        <w:rPr>
          <w:rtl/>
          <w:cs/>
          <w:lang w:val="ar_AE" w:bidi="ar_AE"/>
        </w:rPr>
        <w:t xml:space="preserve">؛ </w:t>
      </w:r>
      <w:r>
        <w:rPr>
          <w:rtl/>
          <w:cs/>
          <w:lang w:val="ar_AE" w:bidi="ar_AE"/>
        </w:rPr>
        <w:t>1يوحنا 4: 2–3</w:t>
      </w:r>
      <w:r>
        <w:rPr>
          <w:rtl/>
          <w:cs/>
          <w:lang w:val="ar_AE" w:bidi="ar_AE"/>
        </w:rPr>
        <w:t xml:space="preserve">؛ </w:t>
      </w:r>
      <w:r>
        <w:rPr>
          <w:rtl/>
          <w:cs/>
          <w:lang w:val="ar_AE" w:bidi="ar_AE"/>
        </w:rPr>
        <w:t>5: 5–8</w:t>
      </w:r>
      <w:r>
        <w:rPr>
          <w:rtl/>
          <w:cs/>
          <w:lang w:val="ar_AE" w:bidi="ar_AE"/>
        </w:rPr>
        <w:t xml:space="preserve">؛ </w:t>
      </w:r>
      <w:r>
        <w:rPr>
          <w:rtl/>
          <w:cs/>
          <w:lang w:val="ar_AE" w:bidi="ar_AE"/>
        </w:rPr>
        <w:t>2يوحنا 1: 7–11</w:t>
      </w:r>
      <w:r>
        <w:rPr>
          <w:rtl/>
          <w:cs/>
          <w:lang w:val="ar_AE" w:bidi="ar_AE"/>
        </w:rPr>
        <w:t xml:space="preserve">؛ </w:t>
      </w:r>
      <w:r>
        <w:rPr>
          <w:rtl/>
          <w:cs/>
          <w:lang w:val="ar_AE" w:bidi="ar_AE"/>
        </w:rPr>
        <w:t>3يوحنا 1: 9–12</w:t>
      </w:r>
      <w:r>
        <w:rPr>
          <w:rtl/>
          <w:cs/>
          <w:lang w:val="ar_AE" w:bidi="ar_AE"/>
        </w:rPr>
        <w:t xml:space="preserve">؛ </w:t>
      </w:r>
      <w:r>
        <w:rPr>
          <w:rtl/>
          <w:cs/>
          <w:lang w:val="ar_AE" w:bidi="ar_AE"/>
        </w:rPr>
        <w:t>رؤيا 2: 2</w:t>
      </w:r>
      <w:r>
        <w:rPr>
          <w:rtl/>
          <w:cs/>
          <w:lang w:val="ar_AE" w:bidi="ar_AE"/>
        </w:rPr>
        <w:t xml:space="preserve">، </w:t>
      </w:r>
      <w:r>
        <w:rPr>
          <w:rtl/>
          <w:cs/>
          <w:lang w:val="ar_AE" w:bidi="ar_AE"/>
        </w:rPr>
        <w:t>14–16</w:t>
      </w:r>
      <w:r>
        <w:rPr>
          <w:rtl/>
          <w:cs/>
          <w:lang w:val="ar_AE" w:bidi="ar_AE"/>
        </w:rPr>
        <w:t xml:space="preserve">، </w:t>
      </w:r>
      <w:r>
        <w:rPr>
          <w:rtl/>
          <w:cs/>
          <w:lang w:val="ar_AE" w:bidi="ar_AE"/>
        </w:rPr>
        <w:t>20–25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الهوية المجتمعية</w:t>
      </w:r>
      <w:r>
        <w:rPr>
          <w:rtl/>
          <w:cs/>
          <w:lang w:val="ar_AE" w:bidi="ar_AE"/>
        </w:rPr>
      </w:r>
    </w:p>
    <w:p>
      <w:pPr>
        <w:bidi/>
      </w:pPr>
      <w:r>
        <w:rPr>
          <w:rtl/>
          <w:cs/>
          <w:lang w:val="ar_AE" w:bidi="ar_AE"/>
        </w:rPr>
      </w:r>
      <w:r>
        <w:rPr>
          <w:rtl/>
          <w:cs/>
          <w:lang w:val="ar_AE" w:bidi="ar_AE"/>
        </w:rPr>
        <w:t>في العديد من الثقافات الغربية، يركّز الناس غالبًا على الهوية الفردية والاستقلال الشخصي. أما في المقابل، فإن العديد من الثقافات الشرقية، مثل تلك التي في الصين والهند، تُعلّي من شأن العلاقات الأسرية والمجتمعية فوق المصالح الفردية. وبطريقة مشابهة، كانت هوية الشخص وأهميته، في إسرائيل القديمة، تأتي من دوره في المجتمع. كان من المتوقع من جميع الإسرائيليين أن يحملوا هوية مشتركة كـ "أبناء إسرائيل" وأن يُظهروا الصفات التي تميّز هذا الشعب ككل.</w:t>
      </w:r>
    </w:p>
    <w:p>
      <w:pPr>
        <w:bidi/>
      </w:pPr>
      <w:r>
        <w:rPr>
          <w:rtl/>
          <w:cs/>
          <w:lang w:val="ar_AE" w:bidi="ar_AE"/>
        </w:rPr>
      </w:r>
      <w:r>
        <w:rPr>
          <w:rtl/>
          <w:cs/>
          <w:lang w:val="ar_AE" w:bidi="ar_AE"/>
        </w:rPr>
        <w:t>في العهد القديم، كثيرًا ما يتحدّث الله إلى الشعب كله بصيغة المفرد، مما يسلّط الضوء على وحدتهم كجماعة واحدة. فعلى سبيل المثال، تُستخدَم الوصايا العشر وبركة هرون بصيغة المفرد (</w:t>
      </w:r>
      <w:r>
        <w:rPr>
          <w:rtl/>
          <w:cs/>
          <w:lang w:val="ar_AE" w:bidi="ar_AE"/>
        </w:rPr>
        <w:t>خروج 20:2–17</w:t>
      </w:r>
      <w:r>
        <w:rPr>
          <w:rtl/>
          <w:cs/>
          <w:lang w:val="ar_AE" w:bidi="ar_AE"/>
        </w:rPr>
        <w:t xml:space="preserve">؛ </w:t>
      </w:r>
      <w:r>
        <w:rPr>
          <w:rtl/>
          <w:cs/>
          <w:lang w:val="ar_AE" w:bidi="ar_AE"/>
        </w:rPr>
        <w:t>عدد 6:24–26</w:t>
      </w:r>
      <w:r>
        <w:rPr>
          <w:rtl/>
          <w:cs/>
          <w:lang w:val="ar_AE" w:bidi="ar_AE"/>
        </w:rPr>
        <w:t xml:space="preserve">). وفي هذا السياق، كان من الممكن أن يُمثِّل شخص واحد الجماعة كلها، كما يمكن أن تُمثَّل الجماعة بشخص واحد. </w:t>
      </w:r>
    </w:p>
    <w:p>
      <w:pPr>
        <w:bidi/>
      </w:pPr>
      <w:r>
        <w:rPr>
          <w:rtl/>
          <w:cs/>
          <w:lang w:val="ar_AE" w:bidi="ar_AE"/>
        </w:rPr>
      </w:r>
      <w:r>
        <w:rPr>
          <w:rtl/>
          <w:cs/>
          <w:lang w:val="ar_AE" w:bidi="ar_AE"/>
        </w:rPr>
        <w:t>على سبيل المثال، يطلب نحميا المغفرة عن الخطايا التي أدت إلى السبي البابلي، قائلاً، "</w:t>
      </w:r>
      <w:r>
        <w:rPr>
          <w:rtl/>
          <w:cs/>
          <w:lang w:val="ar_AE" w:bidi="ar_AE"/>
        </w:rPr>
        <w:t>أَنَا وَبَيْتُ أَبِي قَدْ أَخْطَأْنَا</w:t>
      </w:r>
      <w:r>
        <w:rPr>
          <w:rtl/>
          <w:cs/>
          <w:lang w:val="ar_AE" w:bidi="ar_AE"/>
        </w:rPr>
        <w:t>" (</w:t>
      </w:r>
      <w:r>
        <w:rPr>
          <w:rtl/>
          <w:cs/>
          <w:lang w:val="ar_AE" w:bidi="ar_AE"/>
        </w:rPr>
        <w:t>نحميا 1:6–7</w:t>
      </w:r>
      <w:r>
        <w:rPr>
          <w:rtl/>
          <w:cs/>
          <w:lang w:val="ar_AE" w:bidi="ar_AE"/>
        </w:rPr>
        <w:t>). كان نحميا والي يهوذا من 445 إلى 433 قبل الميلاد، أي بعد حوالي 140 عامًا من خراب أورشليم في 586 قبل الميلاد. لذلك، لم يكن هو من ارتكب تلك الخطايا. ومع ذلك، فإنه في الصلاة يعتبر نفسه جزءاً من هذا الشعب، ويربط نفسه بخطايا شعبه.</w:t>
      </w:r>
    </w:p>
    <w:p>
      <w:pPr>
        <w:bidi/>
      </w:pPr>
      <w:r>
        <w:rPr>
          <w:rtl/>
          <w:cs/>
          <w:lang w:val="ar_AE" w:bidi="ar_AE"/>
        </w:rPr>
      </w:r>
      <w:r>
        <w:rPr>
          <w:rtl/>
          <w:cs/>
          <w:lang w:val="ar_AE" w:bidi="ar_AE"/>
        </w:rPr>
        <w:t>بطريقة مماثلة، كان يمكن لرئيس الكهنة أن يُمثّل الشعب كله في يوم الكفّارة (</w:t>
      </w:r>
      <w:r>
        <w:rPr>
          <w:rtl/>
          <w:cs/>
          <w:lang w:val="ar_AE" w:bidi="ar_AE"/>
        </w:rPr>
        <w:t>لاويين 16</w:t>
      </w:r>
      <w:r>
        <w:rPr>
          <w:rtl/>
          <w:cs/>
          <w:lang w:val="ar_AE" w:bidi="ar_AE"/>
        </w:rPr>
        <w:t>). ونظرًا للارتباط الوثيق بين الأفراد والمجتمع، يمكن أن تتحول خطية الشخص إلى خطية جماعية إن لم يتم التعامل معها (</w:t>
      </w:r>
      <w:r>
        <w:rPr>
          <w:rtl/>
          <w:cs/>
          <w:lang w:val="ar_AE" w:bidi="ar_AE"/>
        </w:rPr>
        <w:t>لاويين 4:3–21</w:t>
      </w:r>
      <w:r>
        <w:rPr>
          <w:rtl/>
          <w:cs/>
          <w:lang w:val="ar_AE" w:bidi="ar_AE"/>
        </w:rPr>
        <w:t xml:space="preserve">; </w:t>
      </w:r>
      <w:r>
        <w:rPr>
          <w:rtl/>
          <w:cs/>
          <w:lang w:val="ar_AE" w:bidi="ar_AE"/>
        </w:rPr>
        <w:t>20:1–5</w:t>
      </w:r>
      <w:r>
        <w:rPr>
          <w:rtl/>
          <w:cs/>
          <w:lang w:val="ar_AE" w:bidi="ar_AE"/>
        </w:rPr>
        <w:t>).</w:t>
      </w:r>
    </w:p>
    <w:p>
      <w:pPr>
        <w:bidi/>
      </w:pPr>
      <w:r>
        <w:rPr>
          <w:rtl/>
          <w:cs/>
          <w:lang w:val="ar_AE" w:bidi="ar_AE"/>
        </w:rPr>
      </w:r>
      <w:r>
        <w:rPr>
          <w:rtl/>
          <w:cs/>
          <w:lang w:val="ar_AE" w:bidi="ar_AE"/>
        </w:rPr>
        <w:t>وأيضًا، على نفس النهج، يصف بولس المجتمع المسيحي بأنه "جسد المسيح" (</w:t>
      </w:r>
      <w:r>
        <w:rPr>
          <w:rtl/>
          <w:cs/>
          <w:lang w:val="ar_AE" w:bidi="ar_AE"/>
        </w:rPr>
        <w:t>كورنثوس الأولى 12:27</w:t>
      </w:r>
      <w:r>
        <w:rPr>
          <w:rtl/>
          <w:cs/>
          <w:lang w:val="ar_AE" w:bidi="ar_AE"/>
        </w:rPr>
        <w:t xml:space="preserve">; </w:t>
      </w:r>
      <w:r>
        <w:rPr>
          <w:rtl/>
          <w:cs/>
          <w:lang w:val="ar_AE" w:bidi="ar_AE"/>
        </w:rPr>
        <w:t>أفسس 4:12</w:t>
      </w:r>
      <w:r>
        <w:rPr>
          <w:rtl/>
          <w:cs/>
          <w:lang w:val="ar_AE" w:bidi="ar_AE"/>
        </w:rPr>
        <w:t>). فالأعضاء يتشاركون هوية المسيح من خلال الروح القدس، ويُظهِرون حياته في حياتهم اليومية. معًا، ويعلنون حضوره وشخصه للعالم. ويشجع الرسول بولس كنيسة غلاطية على أن يحملوا بعضهم أثقال البعض، وهكذا يتمثّلون بالمسيح ويعيشون كمثاله (</w:t>
      </w:r>
      <w:r>
        <w:rPr>
          <w:rtl/>
          <w:cs/>
          <w:lang w:val="ar_AE" w:bidi="ar_AE"/>
        </w:rPr>
        <w:t>غلاطية 6:2</w:t>
      </w:r>
      <w:r>
        <w:rPr>
          <w:rtl/>
          <w:cs/>
          <w:lang w:val="ar_AE" w:bidi="ar_AE"/>
        </w:rPr>
        <w:t xml:space="preserve">; </w:t>
      </w:r>
      <w:r>
        <w:rPr>
          <w:rtl/>
          <w:cs/>
          <w:lang w:val="ar_AE" w:bidi="ar_AE"/>
        </w:rPr>
        <w:t>متّى 11:28–30</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20:5–6</w:t>
      </w:r>
      <w:r>
        <w:rPr>
          <w:rtl/>
          <w:cs/>
          <w:lang w:val="ar_AE" w:bidi="ar_AE"/>
        </w:rPr>
        <w:t xml:space="preserve">، </w:t>
      </w:r>
      <w:r>
        <w:rPr>
          <w:rtl/>
          <w:cs/>
          <w:lang w:val="ar_AE" w:bidi="ar_AE"/>
        </w:rPr>
        <w:t>8–10</w:t>
      </w:r>
      <w:r>
        <w:rPr>
          <w:rtl/>
          <w:cs/>
          <w:lang w:val="ar_AE" w:bidi="ar_AE"/>
        </w:rPr>
        <w:t xml:space="preserve">؛ </w:t>
      </w:r>
      <w:r>
        <w:rPr>
          <w:rtl/>
          <w:cs/>
          <w:lang w:val="ar_AE" w:bidi="ar_AE"/>
        </w:rPr>
        <w:t>لاويين 4:3–21</w:t>
      </w:r>
      <w:r>
        <w:rPr>
          <w:rtl/>
          <w:cs/>
          <w:lang w:val="ar_AE" w:bidi="ar_AE"/>
        </w:rPr>
        <w:t xml:space="preserve">؛ </w:t>
      </w:r>
      <w:r>
        <w:rPr>
          <w:rtl/>
          <w:cs/>
          <w:lang w:val="ar_AE" w:bidi="ar_AE"/>
        </w:rPr>
        <w:t>20:1–5</w:t>
      </w:r>
      <w:r>
        <w:rPr>
          <w:rtl/>
          <w:cs/>
          <w:lang w:val="ar_AE" w:bidi="ar_AE"/>
        </w:rPr>
        <w:t xml:space="preserve">؛ </w:t>
      </w:r>
      <w:r>
        <w:rPr>
          <w:rtl/>
          <w:cs/>
          <w:lang w:val="ar_AE" w:bidi="ar_AE"/>
        </w:rPr>
        <w:t>يشوع 7:1–26</w:t>
      </w:r>
      <w:r>
        <w:rPr>
          <w:rtl/>
          <w:cs/>
          <w:lang w:val="ar_AE" w:bidi="ar_AE"/>
        </w:rPr>
        <w:t xml:space="preserve">؛ </w:t>
      </w:r>
      <w:r>
        <w:rPr>
          <w:rtl/>
          <w:cs/>
          <w:lang w:val="ar_AE" w:bidi="ar_AE"/>
        </w:rPr>
        <w:t>نحميا 1:6–7</w:t>
      </w:r>
      <w:r>
        <w:rPr>
          <w:rtl/>
          <w:cs/>
          <w:lang w:val="ar_AE" w:bidi="ar_AE"/>
        </w:rPr>
        <w:t xml:space="preserve">؛ </w:t>
      </w:r>
      <w:r>
        <w:rPr>
          <w:rtl/>
          <w:cs/>
          <w:lang w:val="ar_AE" w:bidi="ar_AE"/>
        </w:rPr>
        <w:t>كورنثوس الأولى 12:12–27</w:t>
      </w:r>
      <w:r>
        <w:rPr>
          <w:rtl/>
          <w:cs/>
          <w:lang w:val="ar_AE" w:bidi="ar_AE"/>
        </w:rPr>
        <w:t xml:space="preserve">؛ </w:t>
      </w:r>
      <w:r>
        <w:rPr>
          <w:rtl/>
          <w:cs/>
          <w:lang w:val="ar_AE" w:bidi="ar_AE"/>
        </w:rPr>
        <w:t>غلاطية 6:2</w:t>
      </w:r>
      <w:r>
        <w:rPr>
          <w:rtl/>
          <w:cs/>
          <w:lang w:val="ar_AE" w:bidi="ar_AE"/>
        </w:rPr>
        <w:t xml:space="preserve">؛ </w:t>
      </w:r>
      <w:r>
        <w:rPr>
          <w:rtl/>
          <w:cs/>
          <w:lang w:val="ar_AE" w:bidi="ar_AE"/>
        </w:rPr>
        <w:t>أفسس 4:11–13</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