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ईश्वरीय संप्रभुता और मनुष्य की जिम्मेदारी</w:t>
      </w:r>
      <w:r>
        <w:rPr>
          <w:lang w:val="hi_IN" w:bidi="hi_IN"/>
        </w:rPr>
      </w:r>
    </w:p>
    <w:p>
      <w:pPr/>
      <w:r>
        <w:rPr>
          <w:lang w:val="hi_IN" w:bidi="hi_IN"/>
        </w:rPr>
      </w:r>
      <w:r>
        <w:rPr>
          <w:lang w:val="hi_IN" w:bidi="hi_IN"/>
        </w:rPr>
        <w:t>बाइबल यह दर्शाती है कि सब कुछ परमेश्वर के नियन्त्रण में है। दूसरे शब्दों में, परमेश्वर सब कुछ पर संप्रभु हैं। उदाहरण के लिए, बारिश अच्छे और बुरे दोनों लोगों पर परमेश्वर की योजना के एक हिस्से के रूप में होती है (</w:t>
      </w:r>
      <w:r>
        <w:rPr>
          <w:lang w:val="hi_IN" w:bidi="hi_IN"/>
        </w:rPr>
        <w:t>मत्ती 5:45</w:t>
      </w:r>
      <w:r>
        <w:rPr>
          <w:lang w:val="hi_IN" w:bidi="hi_IN"/>
        </w:rPr>
        <w:t>)।</w:t>
      </w:r>
    </w:p>
    <w:p>
      <w:pPr/>
      <w:r>
        <w:rPr>
          <w:lang w:val="hi_IN" w:bidi="hi_IN"/>
        </w:rPr>
      </w:r>
      <w:r>
        <w:rPr>
          <w:lang w:val="hi_IN" w:bidi="hi_IN"/>
        </w:rPr>
        <w:t xml:space="preserve">परमेश्वर हमारे पापों के लिए उत्तरदायी नहीं हैं। वे हमारी अपनी इच्छाओं से उत्पन्न होते हैं, इसलिए हम उनके लिए उत्तरदायी हैं। पवित्रशास्त्र दिखाता है कि लोग परमेश्वर का अनुसरण करने या उन्हें अस्वीकार करने का चुनाव कर सकते हैं (उदाहरण के लिए देखें, </w:t>
      </w:r>
      <w:r>
        <w:rPr>
          <w:lang w:val="hi_IN" w:bidi="hi_IN"/>
        </w:rPr>
        <w:t>व्य.वि. 30:1–20</w:t>
      </w:r>
      <w:r>
        <w:rPr>
          <w:lang w:val="hi_IN" w:bidi="hi_IN"/>
        </w:rPr>
        <w:t xml:space="preserve">; </w:t>
      </w:r>
      <w:r>
        <w:rPr>
          <w:lang w:val="hi_IN" w:bidi="hi_IN"/>
        </w:rPr>
        <w:t>यहो 24:15</w:t>
      </w:r>
      <w:r>
        <w:rPr>
          <w:lang w:val="hi_IN" w:bidi="hi_IN"/>
        </w:rPr>
        <w:t xml:space="preserve">; </w:t>
      </w:r>
      <w:r>
        <w:rPr>
          <w:lang w:val="hi_IN" w:bidi="hi_IN"/>
        </w:rPr>
        <w:t>यूह 1:12</w:t>
      </w:r>
      <w:r>
        <w:rPr>
          <w:lang w:val="hi_IN" w:bidi="hi_IN"/>
        </w:rPr>
        <w:t xml:space="preserve">; </w:t>
      </w:r>
      <w:r>
        <w:rPr>
          <w:lang w:val="hi_IN" w:bidi="hi_IN"/>
        </w:rPr>
        <w:t>रोम 10:9–13</w:t>
      </w:r>
      <w:r>
        <w:rPr>
          <w:lang w:val="hi_IN" w:bidi="hi_IN"/>
        </w:rPr>
        <w:t>)। परमेश्वर लोगों को उन पर विश्वास करने के लिए बाध्य नहीं करते हैं।</w:t>
      </w:r>
    </w:p>
    <w:p>
      <w:pPr/>
      <w:r>
        <w:rPr>
          <w:lang w:val="hi_IN" w:bidi="hi_IN"/>
        </w:rPr>
      </w:r>
      <w:r>
        <w:rPr>
          <w:lang w:val="hi_IN" w:bidi="hi_IN"/>
        </w:rPr>
        <w:t>यहेज 14:9–11</w:t>
      </w:r>
      <w:r>
        <w:rPr>
          <w:lang w:val="hi_IN" w:bidi="hi_IN"/>
        </w:rPr>
        <w:t xml:space="preserve"> एक दिलचस्प स्थिति का वर्णन करते हैं जहाँ परमेश्वर एक भविष्यद्वक्ता को भ्रमित करते हैं, फिर भी भविष्यद्वक्ता को उसके कार्यों के लिए जिम्मेदार ठहराते हैं। यह एक चुनौतीपूर्ण प्रश्न उठाता है: परमेश्वर सब कुछ नियन्त्रित करते हैं, लेकिन मनुष्य व्यक्तिगत चुनाव करते हैं जिनके लिए वे उत्तरदायी होते हैं हम यह कैसे समझाते हैं?</w:t>
      </w:r>
    </w:p>
    <w:p>
      <w:pPr/>
      <w:r>
        <w:rPr>
          <w:lang w:val="hi_IN" w:bidi="hi_IN"/>
        </w:rPr>
      </w:r>
      <w:r>
        <w:rPr>
          <w:lang w:val="hi_IN" w:bidi="hi_IN"/>
        </w:rPr>
        <w:t xml:space="preserve">जब परमेश्वर ने झूठे भविष्यद्वक्ताओं को झूठे संदेश देने की अनुमति दी, तो उन्होंने उन्हें और उनके श्रोताओं को वही दिया जो वे चाहते थे (देखें </w:t>
      </w:r>
      <w:r>
        <w:rPr>
          <w:lang w:val="hi_IN" w:bidi="hi_IN"/>
        </w:rPr>
        <w:t>2 थिस्स 2:11</w:t>
      </w:r>
      <w:r>
        <w:rPr>
          <w:lang w:val="hi_IN" w:bidi="hi_IN"/>
        </w:rPr>
        <w:t>)। यहाँ तक कि एक झूठा भविष्यद्वक्ता भी केवल प्रभु की अनुमति या मार्गदर्शन से ही लोगों को गुमराह कर सकता था। परमेश्वर के रोक के बिना, वे सत्य के बजाय झूठ चुनेगें और "</w:t>
      </w:r>
      <w:r>
        <w:rPr>
          <w:lang w:val="hi_IN" w:bidi="hi_IN"/>
        </w:rPr>
        <w:t>सृष्टि की उपासना और सेवा करेंगें, न कि उस सृजनहार की</w:t>
      </w:r>
      <w:r>
        <w:rPr>
          <w:lang w:val="hi_IN" w:bidi="hi_IN"/>
        </w:rPr>
        <w:t xml:space="preserve">" (देखें </w:t>
      </w:r>
      <w:r>
        <w:rPr>
          <w:lang w:val="hi_IN" w:bidi="hi_IN"/>
        </w:rPr>
        <w:t>रोम 1:18–25</w:t>
      </w:r>
      <w:r>
        <w:rPr>
          <w:lang w:val="hi_IN" w:bidi="hi_IN"/>
        </w:rPr>
        <w:t>)। परमेश्वर ने उन्हें उनकी पापपूर्ण इच्छाओं पर छोड़ दिया।</w:t>
      </w:r>
    </w:p>
    <w:p>
      <w:pPr/>
      <w:r>
        <w:rPr>
          <w:lang w:val="hi_IN" w:bidi="hi_IN"/>
        </w:rPr>
      </w:r>
      <w:r>
        <w:rPr>
          <w:lang w:val="hi_IN" w:bidi="hi_IN"/>
        </w:rPr>
        <w:t xml:space="preserve">आश्चर्यजनक बात यह नहीं है कि परमेश्वर कुछ पापियों को उनके झूठे विश्वासों में रहने देते हैं। बल्कि आश्चर्यजनक यह है कि वह पापियों को बचाते हैं। वह उनकी इच्छाओं को बदलते हैं ताकि वे उनकी महिमा के लिए भलाई करना सीखें (देखें </w:t>
      </w:r>
      <w:r>
        <w:rPr>
          <w:lang w:val="hi_IN" w:bidi="hi_IN"/>
        </w:rPr>
        <w:t>यहेज 36:25–26</w:t>
      </w:r>
      <w:r>
        <w:rPr>
          <w:lang w:val="hi_IN" w:bidi="hi_IN"/>
        </w:rPr>
        <w:t xml:space="preserve">; </w:t>
      </w:r>
      <w:r>
        <w:rPr>
          <w:lang w:val="hi_IN" w:bidi="hi_IN"/>
        </w:rPr>
        <w:t>रोम 8:1–11</w:t>
      </w:r>
      <w:r>
        <w:rPr>
          <w:lang w:val="hi_IN" w:bidi="hi_IN"/>
        </w:rPr>
        <w:t xml:space="preserve">; </w:t>
      </w:r>
      <w:r>
        <w:rPr>
          <w:lang w:val="hi_IN" w:bidi="hi_IN"/>
        </w:rPr>
        <w:t>इफि 2:10</w:t>
      </w:r>
      <w:r>
        <w:rPr>
          <w:lang w:val="hi_IN" w:bidi="hi_IN"/>
        </w:rPr>
        <w:t>)। हम इस कठिन मुद्दे को पूरी तरह से समझ नहीं सकते। फिर भी, हम परमेश्वर के स्वतंत्र रूप से दिए गए अनुग्रह के प्रति आश्वस्त हो सकते हैं। हम उस नए जीवन में आशा रख सकते हैं जो वह अपने पवित्र आत्मा के माध्यम से उन सभी को प्रदान करते हैं जो उन पर भरोसा करते हैं।</w:t>
      </w:r>
    </w:p>
    <w:p>
      <w:pPr/>
      <w:r>
        <w:rPr>
          <w:lang w:val="hi_IN" w:bidi="hi_IN"/>
        </w:rPr>
      </w:r>
      <w:r>
        <w:rPr>
          <w:u w:val="single"/>
          <w:lang w:val="hi_IN" w:bidi="hi_IN"/>
        </w:rPr>
        <w:t>आगे के अध्ययन के लिए अंश</w:t>
      </w:r>
    </w:p>
    <w:p>
      <w:pPr/>
      <w:r>
        <w:rPr>
          <w:lang w:val="hi_IN" w:bidi="hi_IN"/>
        </w:rPr>
      </w:r>
      <w:r>
        <w:rPr>
          <w:lang w:val="hi_IN" w:bidi="hi_IN"/>
        </w:rPr>
        <w:t>1 शमूएल 2:6–7</w:t>
      </w:r>
      <w:r>
        <w:rPr>
          <w:lang w:val="hi_IN" w:bidi="hi_IN"/>
        </w:rPr>
        <w:t xml:space="preserve">; </w:t>
      </w:r>
      <w:r>
        <w:rPr>
          <w:lang w:val="hi_IN" w:bidi="hi_IN"/>
        </w:rPr>
        <w:t>1 राजाओं 22:19–22</w:t>
      </w:r>
      <w:r>
        <w:rPr>
          <w:lang w:val="hi_IN" w:bidi="hi_IN"/>
        </w:rPr>
        <w:t xml:space="preserve">; </w:t>
      </w:r>
      <w:r>
        <w:rPr>
          <w:lang w:val="hi_IN" w:bidi="hi_IN"/>
        </w:rPr>
        <w:t>2 इतिहास 20:6</w:t>
      </w:r>
      <w:r>
        <w:rPr>
          <w:lang w:val="hi_IN" w:bidi="hi_IN"/>
        </w:rPr>
        <w:t xml:space="preserve">; </w:t>
      </w:r>
      <w:r>
        <w:rPr>
          <w:lang w:val="hi_IN" w:bidi="hi_IN"/>
        </w:rPr>
        <w:t>अय्यूब 1:8–12</w:t>
      </w:r>
      <w:r>
        <w:rPr>
          <w:lang w:val="hi_IN" w:bidi="hi_IN"/>
        </w:rPr>
        <w:t xml:space="preserve">; </w:t>
      </w:r>
      <w:r>
        <w:rPr>
          <w:lang w:val="hi_IN" w:bidi="hi_IN"/>
        </w:rPr>
        <w:t>2:2–6</w:t>
      </w:r>
      <w:r>
        <w:rPr>
          <w:lang w:val="hi_IN" w:bidi="hi_IN"/>
        </w:rPr>
        <w:t xml:space="preserve">; </w:t>
      </w:r>
      <w:r>
        <w:rPr>
          <w:lang w:val="hi_IN" w:bidi="hi_IN"/>
        </w:rPr>
        <w:t>भजन संहिता 115:3</w:t>
      </w:r>
      <w:r>
        <w:rPr>
          <w:lang w:val="hi_IN" w:bidi="hi_IN"/>
        </w:rPr>
        <w:t xml:space="preserve">; </w:t>
      </w:r>
      <w:r>
        <w:rPr>
          <w:lang w:val="hi_IN" w:bidi="hi_IN"/>
        </w:rPr>
        <w:t>135:6–14</w:t>
      </w:r>
      <w:r>
        <w:rPr>
          <w:lang w:val="hi_IN" w:bidi="hi_IN"/>
        </w:rPr>
        <w:t xml:space="preserve">; </w:t>
      </w:r>
      <w:r>
        <w:rPr>
          <w:lang w:val="hi_IN" w:bidi="hi_IN"/>
        </w:rPr>
        <w:t>यशायाह 45:6–7</w:t>
      </w:r>
      <w:r>
        <w:rPr>
          <w:lang w:val="hi_IN" w:bidi="hi_IN"/>
        </w:rPr>
        <w:t xml:space="preserve">; </w:t>
      </w:r>
      <w:r>
        <w:rPr>
          <w:lang w:val="hi_IN" w:bidi="hi_IN"/>
        </w:rPr>
        <w:t>विलापगीत 3:37–40</w:t>
      </w:r>
      <w:r>
        <w:rPr>
          <w:lang w:val="hi_IN" w:bidi="hi_IN"/>
        </w:rPr>
        <w:t xml:space="preserve">; </w:t>
      </w:r>
      <w:r>
        <w:rPr>
          <w:lang w:val="hi_IN" w:bidi="hi_IN"/>
        </w:rPr>
        <w:t>यहेजकेल 14:9–11</w:t>
      </w:r>
      <w:r>
        <w:rPr>
          <w:lang w:val="hi_IN" w:bidi="hi_IN"/>
        </w:rPr>
        <w:t xml:space="preserve">; </w:t>
      </w:r>
      <w:r>
        <w:rPr>
          <w:lang w:val="hi_IN" w:bidi="hi_IN"/>
        </w:rPr>
        <w:t>17:24</w:t>
      </w:r>
      <w:r>
        <w:rPr>
          <w:lang w:val="hi_IN" w:bidi="hi_IN"/>
        </w:rPr>
        <w:t xml:space="preserve">; </w:t>
      </w:r>
      <w:r>
        <w:rPr>
          <w:lang w:val="hi_IN" w:bidi="hi_IN"/>
        </w:rPr>
        <w:t>36:25–26</w:t>
      </w:r>
      <w:r>
        <w:rPr>
          <w:lang w:val="hi_IN" w:bidi="hi_IN"/>
        </w:rPr>
        <w:t xml:space="preserve">; </w:t>
      </w:r>
      <w:r>
        <w:rPr>
          <w:lang w:val="hi_IN" w:bidi="hi_IN"/>
        </w:rPr>
        <w:t>दानिय्येल 2:20–22</w:t>
      </w:r>
      <w:r>
        <w:rPr>
          <w:lang w:val="hi_IN" w:bidi="hi_IN"/>
        </w:rPr>
        <w:t xml:space="preserve">; </w:t>
      </w:r>
      <w:r>
        <w:rPr>
          <w:lang w:val="hi_IN" w:bidi="hi_IN"/>
        </w:rPr>
        <w:t>आमोस 3:6</w:t>
      </w:r>
      <w:r>
        <w:rPr>
          <w:lang w:val="hi_IN" w:bidi="hi_IN"/>
        </w:rPr>
        <w:t xml:space="preserve">; </w:t>
      </w:r>
      <w:r>
        <w:rPr>
          <w:lang w:val="hi_IN" w:bidi="hi_IN"/>
        </w:rPr>
        <w:t>4:6–11</w:t>
      </w:r>
      <w:r>
        <w:rPr>
          <w:lang w:val="hi_IN" w:bidi="hi_IN"/>
        </w:rPr>
        <w:t xml:space="preserve">; </w:t>
      </w:r>
      <w:r>
        <w:rPr>
          <w:lang w:val="hi_IN" w:bidi="hi_IN"/>
        </w:rPr>
        <w:t>रोमियों 1:18–25</w:t>
      </w:r>
      <w:r>
        <w:rPr>
          <w:lang w:val="hi_IN" w:bidi="hi_IN"/>
        </w:rPr>
        <w:t xml:space="preserve">; </w:t>
      </w:r>
      <w:r>
        <w:rPr>
          <w:lang w:val="hi_IN" w:bidi="hi_IN"/>
        </w:rPr>
        <w:t>9:8–33</w:t>
      </w:r>
      <w:r>
        <w:rPr>
          <w:lang w:val="hi_IN" w:bidi="hi_IN"/>
        </w:rPr>
        <w:t xml:space="preserve">; </w:t>
      </w:r>
      <w:r>
        <w:rPr>
          <w:lang w:val="hi_IN" w:bidi="hi_IN"/>
        </w:rPr>
        <w:t>12:2</w:t>
      </w:r>
      <w:r>
        <w:rPr>
          <w:lang w:val="hi_IN" w:bidi="hi_IN"/>
        </w:rPr>
        <w:t xml:space="preserve">; </w:t>
      </w:r>
      <w:r>
        <w:rPr>
          <w:lang w:val="hi_IN" w:bidi="hi_IN"/>
        </w:rPr>
        <w:t>इफिसियों 4:20–24</w:t>
      </w:r>
      <w:r>
        <w:rPr>
          <w:lang w:val="hi_IN" w:bidi="hi_IN"/>
        </w:rPr>
        <w:t xml:space="preserve">; </w:t>
      </w:r>
      <w:r>
        <w:rPr>
          <w:lang w:val="hi_IN" w:bidi="hi_IN"/>
        </w:rPr>
        <w:t>2 थिस्सलुनीकियों 2:11–12</w:t>
      </w:r>
      <w:r>
        <w:rPr>
          <w:lang w:val="hi_IN" w:bidi="hi_IN"/>
        </w:rPr>
        <w:t xml:space="preserve">; </w:t>
      </w:r>
      <w:r>
        <w:rPr>
          <w:lang w:val="hi_IN" w:bidi="hi_IN"/>
        </w:rPr>
        <w:t>इब्रानियों 13:20–21</w:t>
      </w:r>
      <w:r>
        <w:rPr>
          <w:lang w:val="hi_IN" w:bidi="hi_IN"/>
        </w:rPr>
        <w:t xml:space="preserve">; </w:t>
      </w:r>
      <w:r>
        <w:rPr>
          <w:lang w:val="hi_IN" w:bidi="hi_IN"/>
        </w:rPr>
        <w:t>याकूब 1:13–14</w:t>
      </w:r>
      <w:r>
        <w:rPr>
          <w:lang w:val="hi_IN" w:bidi="hi_IN"/>
        </w:rPr>
        <w:t xml:space="preserve">; </w:t>
      </w:r>
      <w:r>
        <w:rPr>
          <w:lang w:val="hi_IN" w:bidi="hi_IN"/>
        </w:rPr>
        <w:t>4:12–16</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