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उत्सव</w:t>
      </w:r>
      <w:r>
        <w:rPr>
          <w:lang w:val="hi_IN" w:bidi="hi_IN"/>
        </w:rPr>
      </w:r>
    </w:p>
    <w:p>
      <w:pPr/>
      <w:r>
        <w:rPr>
          <w:lang w:val="hi_IN" w:bidi="hi_IN"/>
        </w:rPr>
      </w:r>
      <w:r>
        <w:rPr>
          <w:lang w:val="hi_IN" w:bidi="hi_IN"/>
        </w:rPr>
        <w:t>परमेश्वर उन लोगों से आनन्द और हर्ष के उल्लासपूर्ण भावों को स्वीकार करते हैं जो उनकी आराधना और स्तुति करते हैं (</w:t>
      </w:r>
      <w:r>
        <w:rPr>
          <w:lang w:val="hi_IN" w:bidi="hi_IN"/>
        </w:rPr>
        <w:t>यशा 30:29</w:t>
      </w:r>
      <w:r>
        <w:rPr>
          <w:lang w:val="hi_IN" w:bidi="hi_IN"/>
        </w:rPr>
        <w:t xml:space="preserve">; </w:t>
      </w:r>
      <w:r>
        <w:rPr>
          <w:lang w:val="hi_IN" w:bidi="hi_IN"/>
        </w:rPr>
        <w:t>यिर्म 30:19</w:t>
      </w:r>
      <w:r>
        <w:rPr>
          <w:lang w:val="hi_IN" w:bidi="hi_IN"/>
        </w:rPr>
        <w:t xml:space="preserve">; </w:t>
      </w:r>
      <w:r>
        <w:rPr>
          <w:lang w:val="hi_IN" w:bidi="hi_IN"/>
        </w:rPr>
        <w:t>31:13</w:t>
      </w:r>
      <w:r>
        <w:rPr>
          <w:lang w:val="hi_IN" w:bidi="hi_IN"/>
        </w:rPr>
        <w:t xml:space="preserve">; </w:t>
      </w:r>
      <w:r>
        <w:rPr>
          <w:lang w:val="hi_IN" w:bidi="hi_IN"/>
        </w:rPr>
        <w:t>सप 3:17</w:t>
      </w:r>
      <w:r>
        <w:rPr>
          <w:lang w:val="hi_IN" w:bidi="hi_IN"/>
        </w:rPr>
        <w:t xml:space="preserve">; </w:t>
      </w:r>
      <w:r>
        <w:rPr>
          <w:lang w:val="hi_IN" w:bidi="hi_IN"/>
        </w:rPr>
        <w:t>इफि 5:19</w:t>
      </w:r>
      <w:r>
        <w:rPr>
          <w:lang w:val="hi_IN" w:bidi="hi_IN"/>
        </w:rPr>
        <w:t xml:space="preserve">; </w:t>
      </w:r>
      <w:r>
        <w:rPr>
          <w:lang w:val="hi_IN" w:bidi="hi_IN"/>
        </w:rPr>
        <w:t>कुल 3:16</w:t>
      </w:r>
      <w:r>
        <w:rPr>
          <w:lang w:val="hi_IN" w:bidi="hi_IN"/>
        </w:rPr>
        <w:t>)।</w:t>
      </w:r>
    </w:p>
    <w:p>
      <w:pPr/>
      <w:r>
        <w:rPr>
          <w:lang w:val="hi_IN" w:bidi="hi_IN"/>
        </w:rPr>
      </w:r>
      <w:r>
        <w:rPr>
          <w:lang w:val="hi_IN" w:bidi="hi_IN"/>
        </w:rPr>
        <w:t>राजा दाऊद ने दो बार परमेश्वर के सन्दूक (जिसे "यहोवा का सन्दूक" या "वाचा का सन्दूक" भी कहा जाता है) को यरूशलेम लाने का प्रयास किया (</w:t>
      </w:r>
      <w:r>
        <w:rPr>
          <w:lang w:val="hi_IN" w:bidi="hi_IN"/>
        </w:rPr>
        <w:t>2 शमू 6:1–11</w:t>
      </w:r>
      <w:r>
        <w:rPr>
          <w:lang w:val="hi_IN" w:bidi="hi_IN"/>
        </w:rPr>
        <w:t xml:space="preserve">, </w:t>
      </w:r>
      <w:r>
        <w:rPr>
          <w:lang w:val="hi_IN" w:bidi="hi_IN"/>
        </w:rPr>
        <w:t>12–23</w:t>
      </w:r>
      <w:r>
        <w:rPr>
          <w:lang w:val="hi_IN" w:bidi="hi_IN"/>
        </w:rPr>
        <w:t>)। दोनों बार उत्सव मनाया गया।</w:t>
      </w:r>
    </w:p>
    <w:p>
      <w:pPr/>
      <w:r>
        <w:rPr>
          <w:lang w:val="hi_IN" w:bidi="hi_IN"/>
        </w:rPr>
      </w:r>
      <w:r>
        <w:rPr>
          <w:lang w:val="hi_IN" w:bidi="hi_IN"/>
        </w:rPr>
        <w:t xml:space="preserve">सन्दूक के साथ दूसरी बार जुलुस में, तीन इब्रानी शब्द "नाच" का वर्णन करते हैं (देखें </w:t>
      </w:r>
      <w:r>
        <w:rPr>
          <w:lang w:val="hi_IN" w:bidi="hi_IN"/>
        </w:rPr>
        <w:t>1 इति 15:25–29</w:t>
      </w:r>
      <w:r>
        <w:rPr>
          <w:lang w:val="hi_IN" w:bidi="hi_IN"/>
        </w:rPr>
        <w:t>):</w:t>
      </w:r>
    </w:p>
    <w:p>
      <w:pPr>
        <w:pStyle w:val="ListNumber"/>
        <w:numPr>
          <w:ilvl w:val="0"/>
          <w:numId w:val="14"/>
        </w:numPr>
        <w:spacing w:line="240" w:lineRule="auto"/>
        <w:ind w:left="720"/>
      </w:pPr>
      <w:r>
        <w:rPr>
          <w:lang w:val="hi_IN" w:bidi="hi_IN"/>
        </w:rPr>
      </w:r>
      <w:r>
        <w:rPr>
          <w:i/>
          <w:lang w:val="hi_IN" w:bidi="hi_IN"/>
        </w:rPr>
        <w:t>करार</w:t>
      </w:r>
      <w:r>
        <w:rPr>
          <w:lang w:val="hi_IN" w:bidi="hi_IN"/>
        </w:rPr>
        <w:t xml:space="preserve"> ("नाचते" </w:t>
      </w:r>
      <w:r>
        <w:rPr>
          <w:lang w:val="hi_IN" w:bidi="hi_IN"/>
        </w:rPr>
        <w:t>2 शमू 6:14</w:t>
      </w:r>
      <w:r>
        <w:rPr>
          <w:lang w:val="hi_IN" w:bidi="hi_IN"/>
        </w:rPr>
        <w:t xml:space="preserve">, </w:t>
      </w:r>
      <w:r>
        <w:rPr>
          <w:lang w:val="hi_IN" w:bidi="hi_IN"/>
        </w:rPr>
        <w:t>16</w:t>
      </w:r>
      <w:r>
        <w:rPr>
          <w:lang w:val="hi_IN" w:bidi="hi_IN"/>
        </w:rPr>
        <w:t xml:space="preserve"> में)</w:t>
      </w:r>
    </w:p>
    <w:p>
      <w:pPr>
        <w:pStyle w:val="ListNumber"/>
        <w:spacing w:line="240" w:lineRule="auto"/>
        <w:ind w:left="720"/>
      </w:pPr>
      <w:r>
        <w:rPr>
          <w:lang w:val="hi_IN" w:bidi="hi_IN"/>
        </w:rPr>
      </w:r>
      <w:r>
        <w:rPr>
          <w:i/>
          <w:lang w:val="hi_IN" w:bidi="hi_IN"/>
        </w:rPr>
        <w:t>पज़ाज़</w:t>
      </w:r>
      <w:r>
        <w:rPr>
          <w:lang w:val="hi_IN" w:bidi="hi_IN"/>
        </w:rPr>
        <w:t xml:space="preserve"> ("कूदते" </w:t>
      </w:r>
      <w:r>
        <w:rPr>
          <w:lang w:val="hi_IN" w:bidi="hi_IN"/>
        </w:rPr>
        <w:t>2 शमू 6:16</w:t>
      </w:r>
      <w:r>
        <w:rPr>
          <w:lang w:val="hi_IN" w:bidi="hi_IN"/>
        </w:rPr>
        <w:t xml:space="preserve"> में)</w:t>
      </w:r>
    </w:p>
    <w:p>
      <w:pPr>
        <w:pStyle w:val="ListNumber"/>
        <w:spacing w:line="240" w:lineRule="auto"/>
        <w:ind w:left="720"/>
      </w:pPr>
      <w:r>
        <w:rPr>
          <w:lang w:val="hi_IN" w:bidi="hi_IN"/>
        </w:rPr>
      </w:r>
      <w:r>
        <w:rPr>
          <w:i/>
          <w:lang w:val="hi_IN" w:bidi="hi_IN"/>
        </w:rPr>
        <w:t xml:space="preserve">रकड </w:t>
      </w:r>
      <w:r>
        <w:rPr>
          <w:lang w:val="hi_IN" w:bidi="hi_IN"/>
        </w:rPr>
        <w:t xml:space="preserve">("कूदते हुए" </w:t>
      </w:r>
      <w:r>
        <w:rPr>
          <w:lang w:val="hi_IN" w:bidi="hi_IN"/>
        </w:rPr>
        <w:t>1 इति 15:29</w:t>
      </w:r>
      <w:r>
        <w:rPr>
          <w:lang w:val="hi_IN" w:bidi="hi_IN"/>
        </w:rPr>
        <w:t xml:space="preserve"> में)</w:t>
      </w:r>
    </w:p>
    <w:p>
      <w:pPr/>
      <w:r>
        <w:rPr>
          <w:lang w:val="hi_IN" w:bidi="hi_IN"/>
        </w:rPr>
      </w:r>
      <w:r>
        <w:rPr>
          <w:lang w:val="hi_IN" w:bidi="hi_IN"/>
        </w:rPr>
        <w:t>ये शब्द एक जीवंत शारीरिक अभिव्यक्ति को दर्शाते हैं, जो दाऊद के पहले प्रयास में "उत्सव मनाने" के लिए प्रयुक्त इब्रानी शब्द से भिन्न हैं (</w:t>
      </w:r>
      <w:r>
        <w:rPr>
          <w:lang w:val="hi_IN" w:bidi="hi_IN"/>
        </w:rPr>
        <w:t>2 शमू 6:5</w:t>
      </w:r>
      <w:r>
        <w:rPr>
          <w:lang w:val="hi_IN" w:bidi="hi_IN"/>
        </w:rPr>
        <w:t>)। पहले जुलुस में, जब सन्दूक लाया जा रहा था, तब दाऊद ने उत्सव मनाया। दूसरे में, उन्होंने आनन्द से नाच और गाना-बजाना, जयजयकार और तुरही के साथ उत्सव मनाया।</w:t>
      </w:r>
    </w:p>
    <w:p>
      <w:pPr/>
      <w:r>
        <w:rPr>
          <w:lang w:val="hi_IN" w:bidi="hi_IN"/>
        </w:rPr>
      </w:r>
      <w:r>
        <w:rPr>
          <w:lang w:val="hi_IN" w:bidi="hi_IN"/>
        </w:rPr>
        <w:t xml:space="preserve">वाद्य-यंत्र मन्दिर की आराधना में महत्वपूर्ण थे। </w:t>
      </w:r>
      <w:r>
        <w:rPr>
          <w:lang w:val="hi_IN" w:bidi="hi_IN"/>
        </w:rPr>
        <w:t>1 इतिहास 25:1–31</w:t>
      </w:r>
      <w:r>
        <w:rPr>
          <w:lang w:val="hi_IN" w:bidi="hi_IN"/>
        </w:rPr>
        <w:t xml:space="preserve"> में, दाऊद ने गाने-बजाने की सेवकाई के लिए विभिन्न समूह नियुक्त किए। कई भजन संहिता, वाद्य-यंत्र बजाकर परमेश्वर की स्तुति और आराधना करने का उल्लेख करते हैं (देखें </w:t>
      </w:r>
      <w:r>
        <w:rPr>
          <w:lang w:val="hi_IN" w:bidi="hi_IN"/>
        </w:rPr>
        <w:t>भज 33:2–3</w:t>
      </w:r>
      <w:r>
        <w:rPr>
          <w:lang w:val="hi_IN" w:bidi="hi_IN"/>
        </w:rPr>
        <w:t xml:space="preserve">; </w:t>
      </w:r>
      <w:r>
        <w:rPr>
          <w:lang w:val="hi_IN" w:bidi="hi_IN"/>
        </w:rPr>
        <w:t>57:8</w:t>
      </w:r>
      <w:r>
        <w:rPr>
          <w:lang w:val="hi_IN" w:bidi="hi_IN"/>
        </w:rPr>
        <w:t xml:space="preserve">; </w:t>
      </w:r>
      <w:r>
        <w:rPr>
          <w:lang w:val="hi_IN" w:bidi="hi_IN"/>
        </w:rPr>
        <w:t>81:2</w:t>
      </w:r>
      <w:r>
        <w:rPr>
          <w:lang w:val="hi_IN" w:bidi="hi_IN"/>
        </w:rPr>
        <w:t xml:space="preserve">; </w:t>
      </w:r>
      <w:r>
        <w:rPr>
          <w:lang w:val="hi_IN" w:bidi="hi_IN"/>
        </w:rPr>
        <w:t>92:1–3</w:t>
      </w:r>
      <w:r>
        <w:rPr>
          <w:lang w:val="hi_IN" w:bidi="hi_IN"/>
        </w:rPr>
        <w:t xml:space="preserve">; </w:t>
      </w:r>
      <w:r>
        <w:rPr>
          <w:lang w:val="hi_IN" w:bidi="hi_IN"/>
        </w:rPr>
        <w:t>98:4–6</w:t>
      </w:r>
      <w:r>
        <w:rPr>
          <w:lang w:val="hi_IN" w:bidi="hi_IN"/>
        </w:rPr>
        <w:t xml:space="preserve">)। </w:t>
      </w:r>
      <w:r>
        <w:rPr>
          <w:lang w:val="hi_IN" w:bidi="hi_IN"/>
        </w:rPr>
        <w:t>भजन संहिता 149</w:t>
      </w:r>
      <w:r>
        <w:rPr>
          <w:lang w:val="hi_IN" w:bidi="hi_IN"/>
        </w:rPr>
        <w:t xml:space="preserve"> और </w:t>
      </w:r>
      <w:r>
        <w:rPr>
          <w:lang w:val="hi_IN" w:bidi="hi_IN"/>
        </w:rPr>
        <w:t>150</w:t>
      </w:r>
      <w:r>
        <w:rPr>
          <w:lang w:val="hi_IN" w:bidi="hi_IN"/>
        </w:rPr>
        <w:t xml:space="preserve"> में, नाच और गाने-बजाने को स्तुति भेंट के रूप में एक साथ प्रस्तुत किया गया है। इसी प्रकार, उड़ाऊ पुत्र के दृष्टान्त में पिता के घर में गाना-बजाना और नृत्य शामिल थे (</w:t>
      </w:r>
      <w:r>
        <w:rPr>
          <w:lang w:val="hi_IN" w:bidi="hi_IN"/>
        </w:rPr>
        <w:t>लूका 15:25</w:t>
      </w:r>
      <w:r>
        <w:rPr>
          <w:lang w:val="hi_IN" w:bidi="hi_IN"/>
        </w:rPr>
        <w:t>)। यह इसलिए था क्योंकि पुत्र की वापसी एक आनन्दमय घटना थी।</w:t>
      </w:r>
    </w:p>
    <w:p>
      <w:pPr/>
      <w:r>
        <w:rPr>
          <w:lang w:val="hi_IN" w:bidi="hi_IN"/>
        </w:rPr>
      </w:r>
      <w:r>
        <w:rPr>
          <w:lang w:val="hi_IN" w:bidi="hi_IN"/>
        </w:rPr>
        <w:t>प्रकाशितवाक्य की पुस्तक विश्वासयोग्य लोगों के लिए एक अनन्त उत्सव का वर्णन करती है। यह उत्सव परमेश्वर की उपस्थिति में आराधना को सम्मिलित करता है (</w:t>
      </w:r>
      <w:r>
        <w:rPr>
          <w:lang w:val="hi_IN" w:bidi="hi_IN"/>
        </w:rPr>
        <w:t>प्रका 4:1–11</w:t>
      </w:r>
      <w:r>
        <w:rPr>
          <w:lang w:val="hi_IN" w:bidi="hi_IN"/>
        </w:rPr>
        <w:t xml:space="preserve">; </w:t>
      </w:r>
      <w:r>
        <w:rPr>
          <w:lang w:val="hi_IN" w:bidi="hi_IN"/>
        </w:rPr>
        <w:t>5:8–14</w:t>
      </w:r>
      <w:r>
        <w:rPr>
          <w:lang w:val="hi_IN" w:bidi="hi_IN"/>
        </w:rPr>
        <w:t xml:space="preserve">; </w:t>
      </w:r>
      <w:r>
        <w:rPr>
          <w:lang w:val="hi_IN" w:bidi="hi_IN"/>
        </w:rPr>
        <w:t>15:1–4</w:t>
      </w:r>
      <w:r>
        <w:rPr>
          <w:lang w:val="hi_IN" w:bidi="hi_IN"/>
        </w:rPr>
        <w:t>)। यह एक विवाह के भोज के समान है जहाँ दूल्हा (यीशु मसीह) और दुल्हन (उनकी कलीसिया) सदा के लिए एक हो जाते हैं (</w:t>
      </w:r>
      <w:r>
        <w:rPr>
          <w:lang w:val="hi_IN" w:bidi="hi_IN"/>
        </w:rPr>
        <w:t>प्रका 19:9</w:t>
      </w:r>
      <w:r>
        <w:rPr>
          <w:lang w:val="hi_IN" w:bidi="hi_IN"/>
        </w:rPr>
        <w:t xml:space="preserve">; देखें </w:t>
      </w:r>
      <w:r>
        <w:rPr>
          <w:lang w:val="hi_IN" w:bidi="hi_IN"/>
        </w:rPr>
        <w:t>मत्ती 22:1–14</w:t>
      </w:r>
      <w:r>
        <w:rPr>
          <w:lang w:val="hi_IN" w:bidi="hi_IN"/>
        </w:rPr>
        <w:t xml:space="preserve"> भी)।</w:t>
      </w:r>
    </w:p>
    <w:p>
      <w:pPr/>
      <w:r>
        <w:rPr>
          <w:lang w:val="hi_IN" w:bidi="hi_IN"/>
        </w:rPr>
      </w:r>
      <w:r>
        <w:rPr>
          <w:u w:val="single"/>
          <w:lang w:val="hi_IN" w:bidi="hi_IN"/>
        </w:rPr>
        <w:t>अधिक अध्ययन के लिए अंश</w:t>
      </w:r>
    </w:p>
    <w:p>
      <w:pPr/>
      <w:r>
        <w:rPr>
          <w:lang w:val="hi_IN" w:bidi="hi_IN"/>
        </w:rPr>
      </w:r>
      <w:r>
        <w:rPr>
          <w:lang w:val="hi_IN" w:bidi="hi_IN"/>
        </w:rPr>
        <w:t>निर्गमन 5:1</w:t>
      </w:r>
      <w:r>
        <w:rPr>
          <w:lang w:val="hi_IN" w:bidi="hi_IN"/>
        </w:rPr>
        <w:t xml:space="preserve">; </w:t>
      </w:r>
      <w:r>
        <w:rPr>
          <w:lang w:val="hi_IN" w:bidi="hi_IN"/>
        </w:rPr>
        <w:t>12:17</w:t>
      </w:r>
      <w:r>
        <w:rPr>
          <w:lang w:val="hi_IN" w:bidi="hi_IN"/>
        </w:rPr>
        <w:t xml:space="preserve">; </w:t>
      </w:r>
      <w:r>
        <w:rPr>
          <w:lang w:val="hi_IN" w:bidi="hi_IN"/>
        </w:rPr>
        <w:t>15:20–21</w:t>
      </w:r>
      <w:r>
        <w:rPr>
          <w:lang w:val="hi_IN" w:bidi="hi_IN"/>
        </w:rPr>
        <w:t xml:space="preserve">; </w:t>
      </w:r>
      <w:r>
        <w:rPr>
          <w:lang w:val="hi_IN" w:bidi="hi_IN"/>
        </w:rPr>
        <w:t>1 शमूएल 18:6</w:t>
      </w:r>
      <w:r>
        <w:rPr>
          <w:lang w:val="hi_IN" w:bidi="hi_IN"/>
        </w:rPr>
        <w:t xml:space="preserve">; </w:t>
      </w:r>
      <w:r>
        <w:rPr>
          <w:lang w:val="hi_IN" w:bidi="hi_IN"/>
        </w:rPr>
        <w:t>2 शमूएल 6:1–15</w:t>
      </w:r>
      <w:r>
        <w:rPr>
          <w:lang w:val="hi_IN" w:bidi="hi_IN"/>
        </w:rPr>
        <w:t xml:space="preserve">; </w:t>
      </w:r>
      <w:r>
        <w:rPr>
          <w:lang w:val="hi_IN" w:bidi="hi_IN"/>
        </w:rPr>
        <w:t>2 इतिहास 7:6–10</w:t>
      </w:r>
      <w:r>
        <w:rPr>
          <w:lang w:val="hi_IN" w:bidi="hi_IN"/>
        </w:rPr>
        <w:t xml:space="preserve">; </w:t>
      </w:r>
      <w:r>
        <w:rPr>
          <w:lang w:val="hi_IN" w:bidi="hi_IN"/>
        </w:rPr>
        <w:t>एज्रा 3:10–11</w:t>
      </w:r>
      <w:r>
        <w:rPr>
          <w:lang w:val="hi_IN" w:bidi="hi_IN"/>
        </w:rPr>
        <w:t xml:space="preserve">; </w:t>
      </w:r>
      <w:r>
        <w:rPr>
          <w:lang w:val="hi_IN" w:bidi="hi_IN"/>
        </w:rPr>
        <w:t>भजन संहिता 30:11</w:t>
      </w:r>
      <w:r>
        <w:rPr>
          <w:lang w:val="hi_IN" w:bidi="hi_IN"/>
        </w:rPr>
        <w:t xml:space="preserve">; </w:t>
      </w:r>
      <w:r>
        <w:rPr>
          <w:lang w:val="hi_IN" w:bidi="hi_IN"/>
        </w:rPr>
        <w:t>69:30</w:t>
      </w:r>
      <w:r>
        <w:rPr>
          <w:lang w:val="hi_IN" w:bidi="hi_IN"/>
        </w:rPr>
        <w:t xml:space="preserve">; </w:t>
      </w:r>
      <w:r>
        <w:rPr>
          <w:lang w:val="hi_IN" w:bidi="hi_IN"/>
        </w:rPr>
        <w:t>98:4–6</w:t>
      </w:r>
      <w:r>
        <w:rPr>
          <w:lang w:val="hi_IN" w:bidi="hi_IN"/>
        </w:rPr>
        <w:t xml:space="preserve">; </w:t>
      </w:r>
      <w:r>
        <w:rPr>
          <w:lang w:val="hi_IN" w:bidi="hi_IN"/>
        </w:rPr>
        <w:t>107:32</w:t>
      </w:r>
      <w:r>
        <w:rPr>
          <w:lang w:val="hi_IN" w:bidi="hi_IN"/>
        </w:rPr>
        <w:t xml:space="preserve">; </w:t>
      </w:r>
      <w:r>
        <w:rPr>
          <w:lang w:val="hi_IN" w:bidi="hi_IN"/>
        </w:rPr>
        <w:t>149:1–9</w:t>
      </w:r>
      <w:r>
        <w:rPr>
          <w:lang w:val="hi_IN" w:bidi="hi_IN"/>
        </w:rPr>
        <w:t xml:space="preserve">; </w:t>
      </w:r>
      <w:r>
        <w:rPr>
          <w:lang w:val="hi_IN" w:bidi="hi_IN"/>
        </w:rPr>
        <w:t>150:1–6</w:t>
      </w:r>
      <w:r>
        <w:rPr>
          <w:lang w:val="hi_IN" w:bidi="hi_IN"/>
        </w:rPr>
        <w:t xml:space="preserve">; </w:t>
      </w:r>
      <w:r>
        <w:rPr>
          <w:lang w:val="hi_IN" w:bidi="hi_IN"/>
        </w:rPr>
        <w:t>यशायाह 30:29</w:t>
      </w:r>
      <w:r>
        <w:rPr>
          <w:lang w:val="hi_IN" w:bidi="hi_IN"/>
        </w:rPr>
        <w:t xml:space="preserve">; </w:t>
      </w:r>
      <w:r>
        <w:rPr>
          <w:lang w:val="hi_IN" w:bidi="hi_IN"/>
        </w:rPr>
        <w:t>54:1</w:t>
      </w:r>
      <w:r>
        <w:rPr>
          <w:lang w:val="hi_IN" w:bidi="hi_IN"/>
        </w:rPr>
        <w:t xml:space="preserve">; </w:t>
      </w:r>
      <w:r>
        <w:rPr>
          <w:lang w:val="hi_IN" w:bidi="hi_IN"/>
        </w:rPr>
        <w:t>यिर्मयाह 30:18–19</w:t>
      </w:r>
      <w:r>
        <w:rPr>
          <w:lang w:val="hi_IN" w:bidi="hi_IN"/>
        </w:rPr>
        <w:t xml:space="preserve">; </w:t>
      </w:r>
      <w:r>
        <w:rPr>
          <w:lang w:val="hi_IN" w:bidi="hi_IN"/>
        </w:rPr>
        <w:t>31:4</w:t>
      </w:r>
      <w:r>
        <w:rPr>
          <w:lang w:val="hi_IN" w:bidi="hi_IN"/>
        </w:rPr>
        <w:t xml:space="preserve">, </w:t>
      </w:r>
      <w:r>
        <w:rPr>
          <w:lang w:val="hi_IN" w:bidi="hi_IN"/>
        </w:rPr>
        <w:t>13</w:t>
      </w:r>
      <w:r>
        <w:rPr>
          <w:lang w:val="hi_IN" w:bidi="hi_IN"/>
        </w:rPr>
        <w:t xml:space="preserve">; </w:t>
      </w:r>
      <w:r>
        <w:rPr>
          <w:lang w:val="hi_IN" w:bidi="hi_IN"/>
        </w:rPr>
        <w:t>विलापगीत 5:14–15</w:t>
      </w:r>
      <w:r>
        <w:rPr>
          <w:lang w:val="hi_IN" w:bidi="hi_IN"/>
        </w:rPr>
        <w:t xml:space="preserve">; </w:t>
      </w:r>
      <w:r>
        <w:rPr>
          <w:lang w:val="hi_IN" w:bidi="hi_IN"/>
        </w:rPr>
        <w:t>सपन्याह 3:17</w:t>
      </w:r>
      <w:r>
        <w:rPr>
          <w:lang w:val="hi_IN" w:bidi="hi_IN"/>
        </w:rPr>
        <w:t xml:space="preserve">; </w:t>
      </w:r>
      <w:r>
        <w:rPr>
          <w:lang w:val="hi_IN" w:bidi="hi_IN"/>
        </w:rPr>
        <w:t>लूका 15:22–25</w:t>
      </w:r>
      <w:r>
        <w:rPr>
          <w:lang w:val="hi_IN" w:bidi="hi_IN"/>
        </w:rPr>
        <w:t xml:space="preserve">; </w:t>
      </w:r>
      <w:r>
        <w:rPr>
          <w:lang w:val="hi_IN" w:bidi="hi_IN"/>
        </w:rPr>
        <w:t>1 कुरिन्थियों 5:8</w:t>
      </w:r>
      <w:r>
        <w:rPr>
          <w:lang w:val="hi_IN" w:bidi="hi_IN"/>
        </w:rPr>
        <w:t xml:space="preserve">; </w:t>
      </w:r>
      <w:r>
        <w:rPr>
          <w:lang w:val="hi_IN" w:bidi="hi_IN"/>
        </w:rPr>
        <w:t>इफिसियों 5:18–20</w:t>
      </w:r>
      <w:r>
        <w:rPr>
          <w:lang w:val="hi_IN" w:bidi="hi_IN"/>
        </w:rPr>
        <w:t xml:space="preserve">; </w:t>
      </w:r>
      <w:r>
        <w:rPr>
          <w:lang w:val="hi_IN" w:bidi="hi_IN"/>
        </w:rPr>
        <w:t>कुलुस्सियों 3:16</w:t>
      </w:r>
      <w:r>
        <w:rPr>
          <w:lang w:val="hi_IN" w:bidi="hi_IN"/>
        </w:rPr>
        <w:t xml:space="preserve">; </w:t>
      </w:r>
      <w:r>
        <w:rPr>
          <w:lang w:val="hi_IN" w:bidi="hi_IN"/>
        </w:rPr>
        <w:t>प्रकाशितवाक्य 18:20</w:t>
      </w:r>
      <w:r>
        <w:rPr>
          <w:lang w:val="hi_IN" w:bidi="hi_IN"/>
        </w:rPr>
      </w:r>
      <w:r>
        <w:rPr>
          <w:lang w:val="hi_IN" w:bidi="hi_IN"/>
        </w:rPr>
      </w:r>
    </w:p>
    <w:p>
      <w:pPr/>
      <w:r>
        <w:rPr>
          <w:lang w:val="hi_IN" w:bidi="hi_IN"/>
        </w:rPr>
      </w:r>
    </w:p>
    <w:p>
      <w:pPr>
        <w:pStyle w:val="Heading2"/>
      </w:pPr>
      <w:r>
        <w:rPr>
          <w:lang w:val="hi_IN" w:bidi="hi_IN"/>
        </w:rPr>
        <w:t>उसे याद करें</w:t>
      </w:r>
      <w:r>
        <w:rPr>
          <w:lang w:val="hi_IN" w:bidi="hi_IN"/>
        </w:rPr>
      </w:r>
    </w:p>
    <w:p>
      <w:pPr/>
      <w:r>
        <w:rPr>
          <w:lang w:val="hi_IN" w:bidi="hi_IN"/>
        </w:rPr>
      </w:r>
      <w:r>
        <w:rPr>
          <w:lang w:val="hi_IN" w:bidi="hi_IN"/>
        </w:rPr>
        <w:t>परमेश्वर ने इस्राएलियों को मिस्र के दासत्व से मुक्त किया और उन्हें अपनी प्रजा बनाया। फिर भी, परमेश्वर जानते थे कि वे उन्हें भूल जाएँगे (</w:t>
      </w:r>
      <w:r>
        <w:rPr>
          <w:lang w:val="hi_IN" w:bidi="hi_IN"/>
        </w:rPr>
        <w:t>व्य.वि. 31:16–21</w:t>
      </w:r>
      <w:r>
        <w:rPr>
          <w:lang w:val="hi_IN" w:bidi="hi_IN"/>
        </w:rPr>
        <w:t>)। मूसा ने प्रतिज्ञा किए गए देश में प्रवेश करने वाले लोगों को चेतावनी दी कि वे हमेशा याद रखें कि परमेश्वर ने उनके लिए क्या किया है (</w:t>
      </w:r>
      <w:r>
        <w:rPr>
          <w:lang w:val="hi_IN" w:bidi="hi_IN"/>
        </w:rPr>
        <w:t>व्य.वि. 8:1–20</w:t>
      </w:r>
      <w:r>
        <w:rPr>
          <w:lang w:val="hi_IN" w:bidi="hi_IN"/>
        </w:rPr>
        <w:t xml:space="preserve">)। अंततः इस्राएली परमेश्वर को भूल गए, जिसके कारण उन्हें उस भूमि से बँधुआई में जाना पड़ा जो परमेश्वर ने उन्हें दी थी (देखें </w:t>
      </w:r>
      <w:r>
        <w:rPr>
          <w:lang w:val="hi_IN" w:bidi="hi_IN"/>
        </w:rPr>
        <w:t>2 रा 17:5–23</w:t>
      </w:r>
      <w:r>
        <w:rPr>
          <w:lang w:val="hi_IN" w:bidi="hi_IN"/>
        </w:rPr>
        <w:t xml:space="preserve">; देखें भी </w:t>
      </w:r>
      <w:r>
        <w:rPr>
          <w:lang w:val="hi_IN" w:bidi="hi_IN"/>
        </w:rPr>
        <w:t>यिर्म 2:32</w:t>
      </w:r>
      <w:r>
        <w:rPr>
          <w:lang w:val="hi_IN" w:bidi="hi_IN"/>
        </w:rPr>
        <w:t>)।</w:t>
      </w:r>
    </w:p>
    <w:p>
      <w:pPr/>
      <w:r>
        <w:rPr>
          <w:lang w:val="hi_IN" w:bidi="hi_IN"/>
        </w:rPr>
      </w:r>
      <w:r>
        <w:rPr>
          <w:lang w:val="hi_IN" w:bidi="hi_IN"/>
        </w:rPr>
        <w:t>सभोपदेशक की पुस्तक में शिक्षक, प्रभु को याद रखने के महत्व पर जोर देते हैं। पूरी पुस्तक में, शिक्षक इस पर विचार करते हैं कि जीवन के कई पहलू अस्थायी और व्यर्थ या अर्थहीन हैं। वह पाठकों से आग्रह करते हुए निष्कर्ष निकालते हैं कि वे उन्हें याद रखें जो शाश्वत और अनन्त हैं (</w:t>
      </w:r>
      <w:r>
        <w:rPr>
          <w:lang w:val="hi_IN" w:bidi="hi_IN"/>
        </w:rPr>
        <w:t>सभो 12:1–7</w:t>
      </w:r>
      <w:r>
        <w:rPr>
          <w:lang w:val="hi_IN" w:bidi="hi_IN"/>
        </w:rPr>
        <w:t xml:space="preserve">)। कोई भी हमेशा के लिए युवा नहीं रहता, बुढ़ापा और मृत्यु सार्वभौमिक सत्य हैं। </w:t>
      </w:r>
    </w:p>
    <w:p>
      <w:pPr/>
      <w:r>
        <w:rPr>
          <w:lang w:val="hi_IN" w:bidi="hi_IN"/>
        </w:rPr>
      </w:r>
      <w:r>
        <w:rPr>
          <w:lang w:val="hi_IN" w:bidi="hi_IN"/>
        </w:rPr>
        <w:t>इसलिए, शिक्षक लोगों को प्रोत्साहित करते हैं कि वे अपनी युवावस्था में ही परमेश्वर पर ध्यान केंद्रित करें, इससे पहले कि बहुत देर हो जाए। सभी लोग अपने कार्यों के लिए परमेश्वर के प्रति उत्तरदायी हैं (</w:t>
      </w:r>
      <w:r>
        <w:rPr>
          <w:lang w:val="hi_IN" w:bidi="hi_IN"/>
        </w:rPr>
        <w:t>सभो 12:13–14</w:t>
      </w:r>
      <w:r>
        <w:rPr>
          <w:lang w:val="hi_IN" w:bidi="hi_IN"/>
        </w:rPr>
        <w:t xml:space="preserve">)। हमारे वर्तमान जीवन को उनके भविष्य के न्याय की वास्तविकता द्वारा निर्देशित किया जाना चाहिए। </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8:1–20</w:t>
      </w:r>
      <w:r>
        <w:rPr>
          <w:lang w:val="hi_IN" w:bidi="hi_IN"/>
        </w:rPr>
        <w:t xml:space="preserve">; </w:t>
      </w:r>
      <w:r>
        <w:rPr>
          <w:lang w:val="hi_IN" w:bidi="hi_IN"/>
        </w:rPr>
        <w:t>सभोपदेशक 12:1–7</w:t>
      </w:r>
      <w:r>
        <w:rPr>
          <w:lang w:val="hi_IN" w:bidi="hi_IN"/>
        </w:rPr>
        <w:t xml:space="preserve">, </w:t>
      </w:r>
      <w:r>
        <w:rPr>
          <w:lang w:val="hi_IN" w:bidi="hi_IN"/>
        </w:rPr>
        <w:t>13–14</w:t>
      </w:r>
      <w:r>
        <w:rPr>
          <w:lang w:val="hi_IN" w:bidi="hi_IN"/>
        </w:rPr>
        <w:t xml:space="preserve">; </w:t>
      </w:r>
      <w:r>
        <w:rPr>
          <w:lang w:val="hi_IN" w:bidi="hi_IN"/>
        </w:rPr>
        <w:t>1 कुरिन्थियों 3:12–14</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