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(Themes)</w:t>
      </w:r>
      <w:r>
        <w:rPr>
          <w:lang w:val="hi_IN" w:bidi="hi_IN"/>
        </w:rPr>
      </w:r>
    </w:p>
    <w:p>
      <w:pPr/>
      <w:r>
        <w:rPr>
          <w:lang w:val="hi_IN" w:bidi="hi_IN"/>
        </w:rPr>
      </w:r>
      <w:r>
        <w:rPr>
          <w:b/>
          <w:lang w:val="hi_IN" w:bidi="hi_IN"/>
        </w:rPr>
        <w:t>Aquifer Open Study Notes (Themes)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कर</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क्रूस और फसह</w:t>
      </w:r>
      <w:r>
        <w:rPr>
          <w:lang w:val="hi_IN" w:bidi="hi_IN"/>
        </w:rPr>
      </w:r>
    </w:p>
    <w:p>
      <w:pPr/>
      <w:r>
        <w:rPr>
          <w:lang w:val="hi_IN" w:bidi="hi_IN"/>
        </w:rPr>
      </w:r>
      <w:r>
        <w:rPr>
          <w:lang w:val="hi_IN" w:bidi="hi_IN"/>
        </w:rPr>
        <w:t>यूहन्ना के सुसमाचार की शुरुआत में, यूहन्ना बपतिस्मा देने वाले ने यीशु को "परमेश्वर का मेमना" के रूप में प्रस्तुत किया (</w:t>
      </w:r>
      <w:r>
        <w:rPr>
          <w:lang w:val="hi_IN" w:bidi="hi_IN"/>
        </w:rPr>
        <w:t>यूह 1:29</w:t>
      </w:r>
      <w:r>
        <w:rPr>
          <w:lang w:val="hi_IN" w:bidi="hi_IN"/>
        </w:rPr>
        <w:t xml:space="preserve">, </w:t>
      </w:r>
      <w:r>
        <w:rPr>
          <w:lang w:val="hi_IN" w:bidi="hi_IN"/>
        </w:rPr>
        <w:t>36</w:t>
      </w:r>
      <w:r>
        <w:rPr>
          <w:lang w:val="hi_IN" w:bidi="hi_IN"/>
        </w:rPr>
        <w:t>)। यह वाक्यांश प्रतिदिन मन्दिर में बलिदान किए जाने वाले मेमने का सन्दर्भ हो सकता है (</w:t>
      </w:r>
      <w:r>
        <w:rPr>
          <w:lang w:val="hi_IN" w:bidi="hi_IN"/>
        </w:rPr>
        <w:t>निर्ग 29:38–46</w:t>
      </w:r>
      <w:r>
        <w:rPr>
          <w:lang w:val="hi_IN" w:bidi="hi_IN"/>
        </w:rPr>
        <w:t xml:space="preserve">)। या यह </w:t>
      </w:r>
      <w:r>
        <w:rPr>
          <w:lang w:val="hi_IN" w:bidi="hi_IN"/>
        </w:rPr>
        <w:t>यशा 53:7</w:t>
      </w:r>
      <w:r>
        <w:rPr>
          <w:lang w:val="hi_IN" w:bidi="hi_IN"/>
        </w:rPr>
        <w:t xml:space="preserve"> में वर्णित बलिदान के मेमने को संदर्भित कर सकता है (देखें </w:t>
      </w:r>
      <w:r>
        <w:rPr>
          <w:lang w:val="hi_IN" w:bidi="hi_IN"/>
        </w:rPr>
        <w:t>प्रेरि 8:32–35</w:t>
      </w:r>
      <w:r>
        <w:rPr>
          <w:lang w:val="hi_IN" w:bidi="hi_IN"/>
        </w:rPr>
        <w:t xml:space="preserve">; </w:t>
      </w:r>
      <w:r>
        <w:rPr>
          <w:lang w:val="hi_IN" w:bidi="hi_IN"/>
        </w:rPr>
        <w:t>प्रका 5:5–14</w:t>
      </w:r>
      <w:r>
        <w:rPr>
          <w:lang w:val="hi_IN" w:bidi="hi_IN"/>
        </w:rPr>
        <w:t>)। दोनों बलिदान पाप से उद्धार और क्षमा का प्रतिनिधित्व करते हैं।</w:t>
      </w:r>
    </w:p>
    <w:p>
      <w:pPr/>
      <w:r>
        <w:rPr>
          <w:lang w:val="hi_IN" w:bidi="hi_IN"/>
        </w:rPr>
      </w:r>
      <w:r>
        <w:rPr>
          <w:lang w:val="hi_IN" w:bidi="hi_IN"/>
        </w:rPr>
        <w:t xml:space="preserve">फिर भी, यह सब प्रेरित यूहन्ना का उद्देश्य नहीं था। यूहन्ना ने यीशु को फसह के मेमने के रूप में प्रस्तुत किया। इस मेमने की मृत्यु फसह के समय की केन्द्रीय घटना है (देखें </w:t>
      </w:r>
      <w:r>
        <w:rPr>
          <w:lang w:val="hi_IN" w:bidi="hi_IN"/>
        </w:rPr>
        <w:t>निर्ग 12:43–47</w:t>
      </w:r>
      <w:r>
        <w:rPr>
          <w:lang w:val="hi_IN" w:bidi="hi_IN"/>
        </w:rPr>
        <w:t xml:space="preserve">; </w:t>
      </w:r>
      <w:r>
        <w:rPr>
          <w:lang w:val="hi_IN" w:bidi="hi_IN"/>
        </w:rPr>
        <w:t>लूका 22:7</w:t>
      </w:r>
      <w:r>
        <w:rPr>
          <w:lang w:val="hi_IN" w:bidi="hi_IN"/>
        </w:rPr>
        <w:t xml:space="preserve">; </w:t>
      </w:r>
      <w:r>
        <w:rPr>
          <w:lang w:val="hi_IN" w:bidi="hi_IN"/>
        </w:rPr>
        <w:t>1 कुरि 5:7</w:t>
      </w:r>
      <w:r>
        <w:rPr>
          <w:lang w:val="hi_IN" w:bidi="hi_IN"/>
        </w:rPr>
        <w:t>)।</w:t>
      </w:r>
    </w:p>
    <w:p>
      <w:pPr/>
      <w:r>
        <w:rPr>
          <w:lang w:val="hi_IN" w:bidi="hi_IN"/>
        </w:rPr>
      </w:r>
      <w:r>
        <w:rPr>
          <w:lang w:val="hi_IN" w:bidi="hi_IN"/>
        </w:rPr>
        <w:t xml:space="preserve">पहली सदी में, यहूदी हर वसन्त में यरूशलेम की यात्रा करते थे ताकि फसह का उत्सव मना सकें और एक बार फिर से मिस्र से निर्गमन की कहानी पढ़ सकें (देखें </w:t>
      </w:r>
      <w:r>
        <w:rPr>
          <w:lang w:val="hi_IN" w:bidi="hi_IN"/>
        </w:rPr>
        <w:t>निर्ग 12–15</w:t>
      </w:r>
      <w:r>
        <w:rPr>
          <w:lang w:val="hi_IN" w:bidi="hi_IN"/>
        </w:rPr>
        <w:t>)। जब परमेश्वर ने इस्राएलियों को मिस्र से बचाया, तो उन्होंने अपने दरवाजों पर मेमने का लहू लगाया था। इस कार्य ने प्रत्येक घर के अन्दर रहने वालों को मृत्यु से बचाया (</w:t>
      </w:r>
      <w:r>
        <w:rPr>
          <w:lang w:val="hi_IN" w:bidi="hi_IN"/>
        </w:rPr>
        <w:t>निर्ग 12</w:t>
      </w:r>
      <w:r>
        <w:rPr>
          <w:lang w:val="hi_IN" w:bidi="hi_IN"/>
        </w:rPr>
        <w:t>)। जो यहूदी फसह के लिए यरूशलेम आते थे, उन्हें बलिदान के लिए एक निर्दोष युवा मेमना देना होता था। मेमने में कोई बीमारी या टूटी हड्डियाँ नहीं होनी चाहिए।</w:t>
      </w:r>
    </w:p>
    <w:p>
      <w:pPr/>
      <w:r>
        <w:rPr>
          <w:lang w:val="hi_IN" w:bidi="hi_IN"/>
        </w:rPr>
      </w:r>
      <w:r>
        <w:rPr>
          <w:lang w:val="hi_IN" w:bidi="hi_IN"/>
        </w:rPr>
        <w:t>यीशु ने अपने अन्तिम फसह भोजन का उपयोग यह दिखाने के लिए किया कि उनकी बलिदानी मृत्यु इस पर्व को नया अर्थ देगी (</w:t>
      </w:r>
      <w:r>
        <w:rPr>
          <w:lang w:val="hi_IN" w:bidi="hi_IN"/>
        </w:rPr>
        <w:t>मर 14:17–25</w:t>
      </w:r>
      <w:r>
        <w:rPr>
          <w:lang w:val="hi_IN" w:bidi="hi_IN"/>
        </w:rPr>
        <w:t>)। उनके क्रूसीकरण पर, उन्होंने यीशु के पैर नहीं तोड़ें, जो अक्सर फसह नियम को पूरा करने के लिए किया जाता था (</w:t>
      </w:r>
      <w:r>
        <w:rPr>
          <w:lang w:val="hi_IN" w:bidi="hi_IN"/>
        </w:rPr>
        <w:t>यूह 19:31–33</w:t>
      </w:r>
      <w:r>
        <w:rPr>
          <w:lang w:val="hi_IN" w:bidi="hi_IN"/>
        </w:rPr>
        <w:t xml:space="preserve">; देखें </w:t>
      </w:r>
      <w:r>
        <w:rPr>
          <w:lang w:val="hi_IN" w:bidi="hi_IN"/>
        </w:rPr>
        <w:t>निर्ग 12:46</w:t>
      </w:r>
      <w:r>
        <w:rPr>
          <w:lang w:val="hi_IN" w:bidi="hi_IN"/>
        </w:rPr>
        <w:t>)। उसके घावों से लहू बहता गया (</w:t>
      </w:r>
      <w:r>
        <w:rPr>
          <w:lang w:val="hi_IN" w:bidi="hi_IN"/>
        </w:rPr>
        <w:t>यूह 19:34</w:t>
      </w:r>
      <w:r>
        <w:rPr>
          <w:lang w:val="hi_IN" w:bidi="hi_IN"/>
        </w:rPr>
        <w:t>)। इससे यह दिखाया गया कि वे दूसरों के लिए अपना जीवन दे रहे थे। मिस्र में फसह के दौरान यहूदियों के परिवारों को बचाने के लिए एक मेमना मरा था। इसी प्रकार, परमेश्वर के पुत्र की क्रूस पर मृत्यु संसार में उद्धार को लाती है।</w:t>
      </w:r>
    </w:p>
    <w:p>
      <w:pPr/>
      <w:r>
        <w:rPr>
          <w:lang w:val="hi_IN" w:bidi="hi_IN"/>
        </w:rPr>
      </w:r>
      <w:r>
        <w:rPr>
          <w:u w:val="single"/>
          <w:lang w:val="hi_IN" w:bidi="hi_IN"/>
        </w:rPr>
        <w:t>अधिक अध्ययन के लिए पद्द्यांश</w:t>
      </w:r>
    </w:p>
    <w:p>
      <w:pPr/>
      <w:r>
        <w:rPr>
          <w:lang w:val="hi_IN" w:bidi="hi_IN"/>
        </w:rPr>
      </w:r>
      <w:r>
        <w:rPr>
          <w:lang w:val="hi_IN" w:bidi="hi_IN"/>
        </w:rPr>
        <w:t>निर्गमन 12:1–13:16</w:t>
      </w:r>
      <w:r>
        <w:rPr>
          <w:lang w:val="hi_IN" w:bidi="hi_IN"/>
        </w:rPr>
        <w:t xml:space="preserve">; </w:t>
      </w:r>
      <w:r>
        <w:rPr>
          <w:lang w:val="hi_IN" w:bidi="hi_IN"/>
        </w:rPr>
        <w:t>29:38–46</w:t>
      </w:r>
      <w:r>
        <w:rPr>
          <w:lang w:val="hi_IN" w:bidi="hi_IN"/>
        </w:rPr>
        <w:t xml:space="preserve">; </w:t>
      </w:r>
      <w:r>
        <w:rPr>
          <w:lang w:val="hi_IN" w:bidi="hi_IN"/>
        </w:rPr>
        <w:t>गिनती 9:1–14</w:t>
      </w:r>
      <w:r>
        <w:rPr>
          <w:lang w:val="hi_IN" w:bidi="hi_IN"/>
        </w:rPr>
        <w:t xml:space="preserve">; </w:t>
      </w:r>
      <w:r>
        <w:rPr>
          <w:lang w:val="hi_IN" w:bidi="hi_IN"/>
        </w:rPr>
        <w:t>व्यवस्थाविवरण 16:1–8</w:t>
      </w:r>
      <w:r>
        <w:rPr>
          <w:lang w:val="hi_IN" w:bidi="hi_IN"/>
        </w:rPr>
        <w:t xml:space="preserve">; </w:t>
      </w:r>
      <w:r>
        <w:rPr>
          <w:lang w:val="hi_IN" w:bidi="hi_IN"/>
        </w:rPr>
        <w:t>2 राजाओं 23:21–23</w:t>
      </w:r>
      <w:r>
        <w:rPr>
          <w:lang w:val="hi_IN" w:bidi="hi_IN"/>
        </w:rPr>
        <w:t xml:space="preserve">; </w:t>
      </w:r>
      <w:r>
        <w:rPr>
          <w:lang w:val="hi_IN" w:bidi="hi_IN"/>
        </w:rPr>
        <w:t>2 इतिहास 30:1–27</w:t>
      </w:r>
      <w:r>
        <w:rPr>
          <w:lang w:val="hi_IN" w:bidi="hi_IN"/>
        </w:rPr>
        <w:t xml:space="preserve">; </w:t>
      </w:r>
      <w:r>
        <w:rPr>
          <w:lang w:val="hi_IN" w:bidi="hi_IN"/>
        </w:rPr>
        <w:t>एज्रा 6:19–21</w:t>
      </w:r>
      <w:r>
        <w:rPr>
          <w:lang w:val="hi_IN" w:bidi="hi_IN"/>
        </w:rPr>
        <w:t xml:space="preserve">; </w:t>
      </w:r>
      <w:r>
        <w:rPr>
          <w:lang w:val="hi_IN" w:bidi="hi_IN"/>
        </w:rPr>
        <w:t>यशायाह 53:7</w:t>
      </w:r>
      <w:r>
        <w:rPr>
          <w:lang w:val="hi_IN" w:bidi="hi_IN"/>
        </w:rPr>
        <w:t xml:space="preserve">; </w:t>
      </w:r>
      <w:r>
        <w:rPr>
          <w:lang w:val="hi_IN" w:bidi="hi_IN"/>
        </w:rPr>
        <w:t>यहेजकेल 45:21–22</w:t>
      </w:r>
      <w:r>
        <w:rPr>
          <w:lang w:val="hi_IN" w:bidi="hi_IN"/>
        </w:rPr>
        <w:t xml:space="preserve">; </w:t>
      </w:r>
      <w:r>
        <w:rPr>
          <w:lang w:val="hi_IN" w:bidi="hi_IN"/>
        </w:rPr>
        <w:t>मत्ती 26:2</w:t>
      </w:r>
      <w:r>
        <w:rPr>
          <w:lang w:val="hi_IN" w:bidi="hi_IN"/>
        </w:rPr>
        <w:t xml:space="preserve">, </w:t>
      </w:r>
      <w:r>
        <w:rPr>
          <w:lang w:val="hi_IN" w:bidi="hi_IN"/>
        </w:rPr>
        <w:t>17–19</w:t>
      </w:r>
      <w:r>
        <w:rPr>
          <w:lang w:val="hi_IN" w:bidi="hi_IN"/>
        </w:rPr>
        <w:t xml:space="preserve">; </w:t>
      </w:r>
      <w:r>
        <w:rPr>
          <w:lang w:val="hi_IN" w:bidi="hi_IN"/>
        </w:rPr>
        <w:t>मरकुस 14:17–31</w:t>
      </w:r>
      <w:r>
        <w:rPr>
          <w:lang w:val="hi_IN" w:bidi="hi_IN"/>
        </w:rPr>
        <w:t xml:space="preserve">; </w:t>
      </w:r>
      <w:r>
        <w:rPr>
          <w:lang w:val="hi_IN" w:bidi="hi_IN"/>
        </w:rPr>
        <w:t>लूका 22:14–30</w:t>
      </w:r>
      <w:r>
        <w:rPr>
          <w:lang w:val="hi_IN" w:bidi="hi_IN"/>
        </w:rPr>
        <w:t xml:space="preserve">; </w:t>
      </w:r>
      <w:r>
        <w:rPr>
          <w:lang w:val="hi_IN" w:bidi="hi_IN"/>
        </w:rPr>
        <w:t>यूहन्ना 1:29</w:t>
      </w:r>
      <w:r>
        <w:rPr>
          <w:lang w:val="hi_IN" w:bidi="hi_IN"/>
        </w:rPr>
        <w:t xml:space="preserve">, </w:t>
      </w:r>
      <w:r>
        <w:rPr>
          <w:lang w:val="hi_IN" w:bidi="hi_IN"/>
        </w:rPr>
        <w:t>36</w:t>
      </w:r>
      <w:r>
        <w:rPr>
          <w:lang w:val="hi_IN" w:bidi="hi_IN"/>
        </w:rPr>
        <w:t xml:space="preserve">; </w:t>
      </w:r>
      <w:r>
        <w:rPr>
          <w:lang w:val="hi_IN" w:bidi="hi_IN"/>
        </w:rPr>
        <w:t>यूहन्ना 19:17–36</w:t>
      </w:r>
      <w:r>
        <w:rPr>
          <w:lang w:val="hi_IN" w:bidi="hi_IN"/>
        </w:rPr>
        <w:t xml:space="preserve">; </w:t>
      </w:r>
      <w:r>
        <w:rPr>
          <w:lang w:val="hi_IN" w:bidi="hi_IN"/>
        </w:rPr>
        <w:t>प्रेरितों के काम 8:32–35</w:t>
      </w:r>
      <w:r>
        <w:rPr>
          <w:lang w:val="hi_IN" w:bidi="hi_IN"/>
        </w:rPr>
        <w:t xml:space="preserve">; </w:t>
      </w:r>
      <w:r>
        <w:rPr>
          <w:lang w:val="hi_IN" w:bidi="hi_IN"/>
        </w:rPr>
        <w:t>12:3–4</w:t>
      </w:r>
      <w:r>
        <w:rPr>
          <w:lang w:val="hi_IN" w:bidi="hi_IN"/>
        </w:rPr>
        <w:t xml:space="preserve">; </w:t>
      </w:r>
      <w:r>
        <w:rPr>
          <w:lang w:val="hi_IN" w:bidi="hi_IN"/>
        </w:rPr>
        <w:t>1 कुरिन्थियों 5:7–8</w:t>
      </w:r>
      <w:r>
        <w:rPr>
          <w:lang w:val="hi_IN" w:bidi="hi_IN"/>
        </w:rPr>
        <w:t xml:space="preserve">; </w:t>
      </w:r>
      <w:r>
        <w:rPr>
          <w:lang w:val="hi_IN" w:bidi="hi_IN"/>
        </w:rPr>
        <w:t>इब्रानियों 11:28</w:t>
      </w:r>
      <w:r>
        <w:rPr>
          <w:lang w:val="hi_IN" w:bidi="hi_IN"/>
        </w:rPr>
        <w:t xml:space="preserve">; </w:t>
      </w:r>
      <w:r>
        <w:rPr>
          <w:lang w:val="hi_IN" w:bidi="hi_IN"/>
        </w:rPr>
        <w:t>प्रकाशितवाक्य 5:5–14</w:t>
      </w:r>
      <w:r>
        <w:rPr>
          <w:lang w:val="hi_IN" w:bidi="hi_IN"/>
        </w:rPr>
      </w:r>
      <w:r>
        <w:rPr>
          <w:lang w:val="hi_IN" w:bidi="hi_IN"/>
        </w:rPr>
      </w:r>
    </w:p>
    <w:p>
      <w:pPr/>
      <w:r>
        <w:rPr>
          <w:lang w:val="hi_IN" w:bidi="hi_IN"/>
        </w:rPr>
      </w:r>
    </w:p>
    <w:p>
      <w:pPr>
        <w:pStyle w:val="Heading2"/>
      </w:pPr>
      <w:r>
        <w:rPr>
          <w:lang w:val="hi_IN" w:bidi="hi_IN"/>
        </w:rPr>
        <w:t>क्रोध</w:t>
      </w:r>
      <w:r>
        <w:rPr>
          <w:lang w:val="hi_IN" w:bidi="hi_IN"/>
        </w:rPr>
      </w:r>
    </w:p>
    <w:p>
      <w:pPr/>
      <w:r>
        <w:rPr>
          <w:lang w:val="hi_IN" w:bidi="hi_IN"/>
        </w:rPr>
      </w:r>
      <w:r>
        <w:rPr>
          <w:lang w:val="hi_IN" w:bidi="hi_IN"/>
        </w:rPr>
        <w:t>बुद्धिमान लोग जल्दी क्रोधित नहीं होते। “</w:t>
      </w:r>
      <w:r>
        <w:rPr>
          <w:lang w:val="hi_IN" w:bidi="hi_IN"/>
        </w:rPr>
        <w:t>जो विलम्ब से क्रोध करनेवाला है वह बड़ा समझवाला है, परन्तु जो अधीर होता है, वह मूर्खता को बढ़ाता है</w:t>
      </w:r>
      <w:r>
        <w:rPr>
          <w:lang w:val="hi_IN" w:bidi="hi_IN"/>
        </w:rPr>
        <w:t>” (</w:t>
      </w:r>
      <w:r>
        <w:rPr>
          <w:lang w:val="hi_IN" w:bidi="hi_IN"/>
        </w:rPr>
        <w:t>नीति 14:29</w:t>
      </w:r>
      <w:r>
        <w:rPr>
          <w:lang w:val="hi_IN" w:bidi="hi_IN"/>
        </w:rPr>
        <w:t>)। क्रोध खराब निर्णय का कारण बन सकता है, इसलिए बुद्धिमान लोग कार्य करने से पहले सोचते हैं (</w:t>
      </w:r>
      <w:r>
        <w:rPr>
          <w:lang w:val="hi_IN" w:bidi="hi_IN"/>
        </w:rPr>
        <w:t>14:16</w:t>
      </w:r>
      <w:r>
        <w:rPr>
          <w:lang w:val="hi_IN" w:bidi="hi_IN"/>
        </w:rPr>
        <w:t>)।</w:t>
      </w:r>
    </w:p>
    <w:p>
      <w:pPr/>
      <w:r>
        <w:rPr>
          <w:lang w:val="hi_IN" w:bidi="hi_IN"/>
        </w:rPr>
      </w:r>
      <w:r>
        <w:rPr>
          <w:lang w:val="hi_IN" w:bidi="hi_IN"/>
        </w:rPr>
        <w:t xml:space="preserve">नीतिवचन की पुस्तक क्रोध को नकारात्मक रूप में देखती है, लेकिन पवित्रशास्त्र में सभी क्रोध बुरे नहीं हैं। कई भजन संहिता परमेश्वर के क्रोध की बात करते हैं (उदाहरण के लिए, </w:t>
      </w:r>
      <w:r>
        <w:rPr>
          <w:lang w:val="hi_IN" w:bidi="hi_IN"/>
        </w:rPr>
        <w:t>भजन 77</w:t>
      </w:r>
      <w:r>
        <w:rPr>
          <w:lang w:val="hi_IN" w:bidi="hi_IN"/>
        </w:rPr>
        <w:t>)। यीशु ने जब मंदिर से लेन-देन करने वालों को बाहर निकाला तब वे क्रोधित हुए (</w:t>
      </w:r>
      <w:r>
        <w:rPr>
          <w:lang w:val="hi_IN" w:bidi="hi_IN"/>
        </w:rPr>
        <w:t>मर 11:15–17</w:t>
      </w:r>
      <w:r>
        <w:rPr>
          <w:lang w:val="hi_IN" w:bidi="hi_IN"/>
        </w:rPr>
        <w:t xml:space="preserve">; </w:t>
      </w:r>
      <w:r>
        <w:rPr>
          <w:lang w:val="hi_IN" w:bidi="hi_IN"/>
        </w:rPr>
        <w:t>यूह 2:13–16</w:t>
      </w:r>
      <w:r>
        <w:rPr>
          <w:lang w:val="hi_IN" w:bidi="hi_IN"/>
        </w:rPr>
        <w:t>)।</w:t>
      </w:r>
    </w:p>
    <w:p>
      <w:pPr/>
      <w:r>
        <w:rPr>
          <w:lang w:val="hi_IN" w:bidi="hi_IN"/>
        </w:rPr>
      </w:r>
      <w:r>
        <w:rPr>
          <w:lang w:val="hi_IN" w:bidi="hi_IN"/>
        </w:rPr>
        <w:t xml:space="preserve">लोगों को धार्मिक और अधार्मिक क्रोध के बीच अंतर करना सीखना चाहिए, हालांकि यह अक्सर कठिन होता है। अधार्मिक क्रोध स्वयं को बचाने या बढ़ावा देने पर केंद्रित होता है (उदाहरण के लिए, </w:t>
      </w:r>
      <w:r>
        <w:rPr>
          <w:lang w:val="hi_IN" w:bidi="hi_IN"/>
        </w:rPr>
        <w:t>उत 4:3–8</w:t>
      </w:r>
      <w:r>
        <w:rPr>
          <w:lang w:val="hi_IN" w:bidi="hi_IN"/>
        </w:rPr>
        <w:t xml:space="preserve">; </w:t>
      </w:r>
      <w:r>
        <w:rPr>
          <w:lang w:val="hi_IN" w:bidi="hi_IN"/>
        </w:rPr>
        <w:t>1 शमू 18:8–9</w:t>
      </w:r>
      <w:r>
        <w:rPr>
          <w:lang w:val="hi_IN" w:bidi="hi_IN"/>
        </w:rPr>
        <w:t xml:space="preserve">; </w:t>
      </w:r>
      <w:r>
        <w:rPr>
          <w:lang w:val="hi_IN" w:bidi="hi_IN"/>
        </w:rPr>
        <w:t>1 रा 21:3–4</w:t>
      </w:r>
      <w:r>
        <w:rPr>
          <w:lang w:val="hi_IN" w:bidi="hi_IN"/>
        </w:rPr>
        <w:t xml:space="preserve">; </w:t>
      </w:r>
      <w:r>
        <w:rPr>
          <w:lang w:val="hi_IN" w:bidi="hi_IN"/>
        </w:rPr>
        <w:t>2 रा 5:11</w:t>
      </w:r>
      <w:r>
        <w:rPr>
          <w:lang w:val="hi_IN" w:bidi="hi_IN"/>
        </w:rPr>
        <w:t xml:space="preserve">; </w:t>
      </w:r>
      <w:r>
        <w:rPr>
          <w:lang w:val="hi_IN" w:bidi="hi_IN"/>
        </w:rPr>
        <w:t>2 इति 25:10</w:t>
      </w:r>
      <w:r>
        <w:rPr>
          <w:lang w:val="hi_IN" w:bidi="hi_IN"/>
        </w:rPr>
        <w:t xml:space="preserve">; </w:t>
      </w:r>
      <w:r>
        <w:rPr>
          <w:lang w:val="hi_IN" w:bidi="hi_IN"/>
        </w:rPr>
        <w:t>योन 4</w:t>
      </w:r>
      <w:r>
        <w:rPr>
          <w:lang w:val="hi_IN" w:bidi="hi_IN"/>
        </w:rPr>
        <w:t xml:space="preserve">)। धार्मिक क्रोध, परमेश्वर की दुष्ट के प्रति घृणा और न्याय के प्रति प्रेम को दर्शाता है (उदाहरण के लिए, </w:t>
      </w:r>
      <w:r>
        <w:rPr>
          <w:lang w:val="hi_IN" w:bidi="hi_IN"/>
        </w:rPr>
        <w:t>निर्ग 32</w:t>
      </w:r>
      <w:r>
        <w:rPr>
          <w:lang w:val="hi_IN" w:bidi="hi_IN"/>
        </w:rPr>
        <w:t xml:space="preserve">; </w:t>
      </w:r>
      <w:r>
        <w:rPr>
          <w:lang w:val="hi_IN" w:bidi="hi_IN"/>
        </w:rPr>
        <w:t>गिन 11:1</w:t>
      </w:r>
      <w:r>
        <w:rPr>
          <w:lang w:val="hi_IN" w:bidi="hi_IN"/>
        </w:rPr>
        <w:t xml:space="preserve">, </w:t>
      </w:r>
      <w:r>
        <w:rPr>
          <w:lang w:val="hi_IN" w:bidi="hi_IN"/>
        </w:rPr>
        <w:t>10</w:t>
      </w:r>
      <w:r>
        <w:rPr>
          <w:lang w:val="hi_IN" w:bidi="hi_IN"/>
        </w:rPr>
        <w:t xml:space="preserve">; देखें </w:t>
      </w:r>
      <w:r>
        <w:rPr>
          <w:lang w:val="hi_IN" w:bidi="hi_IN"/>
        </w:rPr>
        <w:t>नहू 1:3</w:t>
      </w:r>
      <w:r>
        <w:rPr>
          <w:lang w:val="hi_IN" w:bidi="hi_IN"/>
        </w:rPr>
        <w:t xml:space="preserve">; </w:t>
      </w:r>
      <w:r>
        <w:rPr>
          <w:lang w:val="hi_IN" w:bidi="hi_IN"/>
        </w:rPr>
        <w:t>रोम 9:22</w:t>
      </w:r>
      <w:r>
        <w:rPr>
          <w:lang w:val="hi_IN" w:bidi="hi_IN"/>
        </w:rPr>
        <w:t xml:space="preserve">)। एक बुद्धिमान व्यक्ति स्थिति को समझता है। फिर वह व्यक्ति निर्णय लेता है कि क्रोध दिखाना उचित है या नहीं (देखें </w:t>
      </w:r>
      <w:r>
        <w:rPr>
          <w:lang w:val="hi_IN" w:bidi="hi_IN"/>
        </w:rPr>
        <w:t>नीति 22:24</w:t>
      </w:r>
      <w:r>
        <w:rPr>
          <w:lang w:val="hi_IN" w:bidi="hi_IN"/>
        </w:rPr>
        <w:t xml:space="preserve">; </w:t>
      </w:r>
      <w:r>
        <w:rPr>
          <w:lang w:val="hi_IN" w:bidi="hi_IN"/>
        </w:rPr>
        <w:t>सभो 7:9</w:t>
      </w:r>
      <w:r>
        <w:rPr>
          <w:lang w:val="hi_IN" w:bidi="hi_IN"/>
        </w:rPr>
        <w:t xml:space="preserve">; </w:t>
      </w:r>
      <w:r>
        <w:rPr>
          <w:lang w:val="hi_IN" w:bidi="hi_IN"/>
        </w:rPr>
        <w:t>मत्ती 5:22</w:t>
      </w:r>
      <w:r>
        <w:rPr>
          <w:lang w:val="hi_IN" w:bidi="hi_IN"/>
        </w:rPr>
        <w:t xml:space="preserve">; </w:t>
      </w:r>
      <w:r>
        <w:rPr>
          <w:lang w:val="hi_IN" w:bidi="hi_IN"/>
        </w:rPr>
        <w:t>रोम 12:19</w:t>
      </w:r>
      <w:r>
        <w:rPr>
          <w:lang w:val="hi_IN" w:bidi="hi_IN"/>
        </w:rPr>
        <w:t xml:space="preserve">; </w:t>
      </w:r>
      <w:r>
        <w:rPr>
          <w:lang w:val="hi_IN" w:bidi="hi_IN"/>
        </w:rPr>
        <w:t>इफि 4:26–27</w:t>
      </w:r>
      <w:r>
        <w:rPr>
          <w:lang w:val="hi_IN" w:bidi="hi_IN"/>
        </w:rPr>
        <w:t xml:space="preserve">, </w:t>
      </w:r>
      <w:r>
        <w:rPr>
          <w:lang w:val="hi_IN" w:bidi="hi_IN"/>
        </w:rPr>
        <w:t>31</w:t>
      </w:r>
      <w:r>
        <w:rPr>
          <w:lang w:val="hi_IN" w:bidi="hi_IN"/>
        </w:rPr>
        <w:t xml:space="preserve">; </w:t>
      </w:r>
      <w:r>
        <w:rPr>
          <w:lang w:val="hi_IN" w:bidi="hi_IN"/>
        </w:rPr>
        <w:t>याकू 1:19–20</w:t>
      </w:r>
      <w:r>
        <w:rPr>
          <w:lang w:val="hi_IN" w:bidi="hi_IN"/>
        </w:rPr>
        <w:t>)।</w:t>
      </w:r>
    </w:p>
    <w:p>
      <w:pPr/>
      <w:r>
        <w:rPr>
          <w:lang w:val="hi_IN" w:bidi="hi_IN"/>
        </w:rPr>
      </w:r>
      <w:r>
        <w:rPr>
          <w:u w:val="single"/>
          <w:lang w:val="hi_IN" w:bidi="hi_IN"/>
        </w:rPr>
        <w:t xml:space="preserve">आगे अध्ययन के लिए अंश </w:t>
      </w:r>
    </w:p>
    <w:p>
      <w:pPr/>
      <w:r>
        <w:rPr>
          <w:lang w:val="hi_IN" w:bidi="hi_IN"/>
        </w:rPr>
      </w:r>
      <w:r>
        <w:rPr>
          <w:lang w:val="hi_IN" w:bidi="hi_IN"/>
        </w:rPr>
        <w:t>1 शमूएल 18:8–11</w:t>
      </w:r>
      <w:r>
        <w:rPr>
          <w:lang w:val="hi_IN" w:bidi="hi_IN"/>
        </w:rPr>
        <w:t xml:space="preserve">; </w:t>
      </w:r>
      <w:r>
        <w:rPr>
          <w:lang w:val="hi_IN" w:bidi="hi_IN"/>
        </w:rPr>
        <w:t>1 राजाओं 21:3–16</w:t>
      </w:r>
      <w:r>
        <w:rPr>
          <w:lang w:val="hi_IN" w:bidi="hi_IN"/>
        </w:rPr>
        <w:t xml:space="preserve">; </w:t>
      </w:r>
      <w:r>
        <w:rPr>
          <w:lang w:val="hi_IN" w:bidi="hi_IN"/>
        </w:rPr>
        <w:t>भजन संहिता 30:5</w:t>
      </w:r>
      <w:r>
        <w:rPr>
          <w:lang w:val="hi_IN" w:bidi="hi_IN"/>
        </w:rPr>
        <w:t xml:space="preserve">; </w:t>
      </w:r>
      <w:r>
        <w:rPr>
          <w:lang w:val="hi_IN" w:bidi="hi_IN"/>
        </w:rPr>
        <w:t>37:8</w:t>
      </w:r>
      <w:r>
        <w:rPr>
          <w:lang w:val="hi_IN" w:bidi="hi_IN"/>
        </w:rPr>
        <w:t xml:space="preserve">; </w:t>
      </w:r>
      <w:r>
        <w:rPr>
          <w:lang w:val="hi_IN" w:bidi="hi_IN"/>
        </w:rPr>
        <w:t>नीतिवचन 12:16</w:t>
      </w:r>
      <w:r>
        <w:rPr>
          <w:lang w:val="hi_IN" w:bidi="hi_IN"/>
        </w:rPr>
        <w:t xml:space="preserve">; </w:t>
      </w:r>
      <w:r>
        <w:rPr>
          <w:lang w:val="hi_IN" w:bidi="hi_IN"/>
        </w:rPr>
        <w:t>14:29</w:t>
      </w:r>
      <w:r>
        <w:rPr>
          <w:lang w:val="hi_IN" w:bidi="hi_IN"/>
        </w:rPr>
        <w:t xml:space="preserve">; </w:t>
      </w:r>
      <w:r>
        <w:rPr>
          <w:lang w:val="hi_IN" w:bidi="hi_IN"/>
        </w:rPr>
        <w:t>15:1</w:t>
      </w:r>
      <w:r>
        <w:rPr>
          <w:lang w:val="hi_IN" w:bidi="hi_IN"/>
        </w:rPr>
        <w:t xml:space="preserve">, </w:t>
      </w:r>
      <w:r>
        <w:rPr>
          <w:lang w:val="hi_IN" w:bidi="hi_IN"/>
        </w:rPr>
        <w:t>18</w:t>
      </w:r>
      <w:r>
        <w:rPr>
          <w:lang w:val="hi_IN" w:bidi="hi_IN"/>
        </w:rPr>
        <w:t xml:space="preserve">; </w:t>
      </w:r>
      <w:r>
        <w:rPr>
          <w:lang w:val="hi_IN" w:bidi="hi_IN"/>
        </w:rPr>
        <w:t>16:14</w:t>
      </w:r>
      <w:r>
        <w:rPr>
          <w:lang w:val="hi_IN" w:bidi="hi_IN"/>
        </w:rPr>
        <w:t xml:space="preserve">; </w:t>
      </w:r>
      <w:r>
        <w:rPr>
          <w:lang w:val="hi_IN" w:bidi="hi_IN"/>
        </w:rPr>
        <w:t>19:11–12</w:t>
      </w:r>
      <w:r>
        <w:rPr>
          <w:lang w:val="hi_IN" w:bidi="hi_IN"/>
        </w:rPr>
        <w:t xml:space="preserve">, </w:t>
      </w:r>
      <w:r>
        <w:rPr>
          <w:lang w:val="hi_IN" w:bidi="hi_IN"/>
        </w:rPr>
        <w:t>19</w:t>
      </w:r>
      <w:r>
        <w:rPr>
          <w:lang w:val="hi_IN" w:bidi="hi_IN"/>
        </w:rPr>
        <w:t xml:space="preserve">; </w:t>
      </w:r>
      <w:r>
        <w:rPr>
          <w:lang w:val="hi_IN" w:bidi="hi_IN"/>
        </w:rPr>
        <w:t>22:24–25</w:t>
      </w:r>
      <w:r>
        <w:rPr>
          <w:lang w:val="hi_IN" w:bidi="hi_IN"/>
        </w:rPr>
        <w:t xml:space="preserve">; </w:t>
      </w:r>
      <w:r>
        <w:rPr>
          <w:lang w:val="hi_IN" w:bidi="hi_IN"/>
        </w:rPr>
        <w:t>27:4</w:t>
      </w:r>
      <w:r>
        <w:rPr>
          <w:lang w:val="hi_IN" w:bidi="hi_IN"/>
        </w:rPr>
        <w:t xml:space="preserve">; </w:t>
      </w:r>
      <w:r>
        <w:rPr>
          <w:lang w:val="hi_IN" w:bidi="hi_IN"/>
        </w:rPr>
        <w:t>सभोपदेशक 7:9</w:t>
      </w:r>
      <w:r>
        <w:rPr>
          <w:lang w:val="hi_IN" w:bidi="hi_IN"/>
        </w:rPr>
        <w:t xml:space="preserve">; </w:t>
      </w:r>
      <w:r>
        <w:rPr>
          <w:lang w:val="hi_IN" w:bidi="hi_IN"/>
        </w:rPr>
        <w:t>नहूम 1:2–3</w:t>
      </w:r>
      <w:r>
        <w:rPr>
          <w:lang w:val="hi_IN" w:bidi="hi_IN"/>
        </w:rPr>
        <w:t xml:space="preserve">; </w:t>
      </w:r>
      <w:r>
        <w:rPr>
          <w:lang w:val="hi_IN" w:bidi="hi_IN"/>
        </w:rPr>
        <w:t>मत्ती 5:22</w:t>
      </w:r>
      <w:r>
        <w:rPr>
          <w:lang w:val="hi_IN" w:bidi="hi_IN"/>
        </w:rPr>
        <w:t xml:space="preserve">; </w:t>
      </w:r>
      <w:r>
        <w:rPr>
          <w:lang w:val="hi_IN" w:bidi="hi_IN"/>
        </w:rPr>
        <w:t>इफिसियों 4:26–27</w:t>
      </w:r>
      <w:r>
        <w:rPr>
          <w:lang w:val="hi_IN" w:bidi="hi_IN"/>
        </w:rPr>
        <w:t xml:space="preserve">, </w:t>
      </w:r>
      <w:r>
        <w:rPr>
          <w:lang w:val="hi_IN" w:bidi="hi_IN"/>
        </w:rPr>
        <w:t>31–32</w:t>
      </w:r>
      <w:r>
        <w:rPr>
          <w:lang w:val="hi_IN" w:bidi="hi_IN"/>
        </w:rPr>
        <w:t xml:space="preserve">; </w:t>
      </w:r>
      <w:r>
        <w:rPr>
          <w:lang w:val="hi_IN" w:bidi="hi_IN"/>
        </w:rPr>
        <w:t>1 तीमुथियुस 2:8</w:t>
      </w:r>
      <w:r>
        <w:rPr>
          <w:lang w:val="hi_IN" w:bidi="hi_IN"/>
        </w:rPr>
        <w:t xml:space="preserve">; </w:t>
      </w:r>
      <w:r>
        <w:rPr>
          <w:lang w:val="hi_IN" w:bidi="hi_IN"/>
        </w:rPr>
        <w:t>तीतुस 1:7</w:t>
      </w:r>
      <w:r>
        <w:rPr>
          <w:lang w:val="hi_IN" w:bidi="hi_IN"/>
        </w:rPr>
        <w:t xml:space="preserve">; </w:t>
      </w:r>
      <w:r>
        <w:rPr>
          <w:lang w:val="hi_IN" w:bidi="hi_IN"/>
        </w:rPr>
        <w:t>याकूब 1:19–21</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