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ख</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खतना</w:t>
      </w:r>
      <w:r>
        <w:rPr>
          <w:lang w:val="hi_IN" w:bidi="hi_IN"/>
        </w:rPr>
      </w:r>
    </w:p>
    <w:p>
      <w:pPr/>
      <w:r>
        <w:rPr>
          <w:lang w:val="hi_IN" w:bidi="hi_IN"/>
        </w:rPr>
      </w:r>
      <w:r>
        <w:rPr>
          <w:lang w:val="hi_IN" w:bidi="hi_IN"/>
        </w:rPr>
        <w:t xml:space="preserve">बहुत सी प्राचीन संस्कृतियाँ खतना करने की प्रथा का पालन करती थी, जिसमें पुरुष के लिंग के अग्रभाग की चमड़ी को हटा दिया जाता था (देखें </w:t>
      </w:r>
      <w:r>
        <w:rPr>
          <w:lang w:val="hi_IN" w:bidi="hi_IN"/>
        </w:rPr>
        <w:t>यिर्म 9:25–26</w:t>
      </w:r>
      <w:r>
        <w:rPr>
          <w:lang w:val="hi_IN" w:bidi="hi_IN"/>
        </w:rPr>
        <w:t>)।</w:t>
      </w:r>
    </w:p>
    <w:p>
      <w:pPr/>
      <w:r>
        <w:rPr>
          <w:lang w:val="hi_IN" w:bidi="hi_IN"/>
        </w:rPr>
      </w:r>
      <w:r>
        <w:rPr>
          <w:lang w:val="hi_IN" w:bidi="hi_IN"/>
        </w:rPr>
        <w:t>परमेश्वर ने खतने को वाचा (एक विशेष वाचा) का चिन्ह चुना, जो वंशजों पर केन्द्रित था। परमेश्वर ने अब्राहम और उसके वंशजों को एक बड़ी जाति बनाने और उन्हें गैर-यहूदी जातियों को छुड़ाने के लिए उपयोग करने का वादा किया (</w:t>
      </w:r>
      <w:r>
        <w:rPr>
          <w:lang w:val="hi_IN" w:bidi="hi_IN"/>
        </w:rPr>
        <w:t xml:space="preserve">उत 12:2, </w:t>
      </w:r>
      <w:r>
        <w:rPr>
          <w:lang w:val="hi_IN" w:bidi="hi_IN"/>
        </w:rPr>
        <w:t>3</w:t>
      </w:r>
      <w:r>
        <w:rPr>
          <w:lang w:val="hi_IN" w:bidi="hi_IN"/>
        </w:rPr>
        <w:t xml:space="preserve">; </w:t>
      </w:r>
      <w:r>
        <w:rPr>
          <w:lang w:val="hi_IN" w:bidi="hi_IN"/>
        </w:rPr>
        <w:t>17:3–6</w:t>
      </w:r>
      <w:r>
        <w:rPr>
          <w:lang w:val="hi_IN" w:bidi="hi_IN"/>
        </w:rPr>
        <w:t xml:space="preserve">; देखें </w:t>
      </w:r>
      <w:r>
        <w:rPr>
          <w:lang w:val="hi_IN" w:bidi="hi_IN"/>
        </w:rPr>
        <w:t>गला 3:8–9</w:t>
      </w:r>
      <w:r>
        <w:rPr>
          <w:lang w:val="hi_IN" w:bidi="hi_IN"/>
        </w:rPr>
        <w:t>)। खतना परमेश्वर की ओर से शरीर पर दिया गया चिन्ह था। यह अब्राहम और उसके वंशजों को परमेश्वर की प्रजा के रूप में पहचान दिलाता था (</w:t>
      </w:r>
      <w:r>
        <w:rPr>
          <w:lang w:val="hi_IN" w:bidi="hi_IN"/>
        </w:rPr>
        <w:t>उत 17:9–14</w:t>
      </w:r>
      <w:r>
        <w:rPr>
          <w:lang w:val="hi_IN" w:bidi="hi_IN"/>
        </w:rPr>
        <w:t>)। यह उन्हें वाचा के प्रति विश्वासयोग्य बने रहने के लिए स्मरण दिलाता था।</w:t>
      </w:r>
    </w:p>
    <w:p>
      <w:pPr/>
      <w:r>
        <w:rPr>
          <w:lang w:val="hi_IN" w:bidi="hi_IN"/>
        </w:rPr>
      </w:r>
      <w:r>
        <w:rPr>
          <w:lang w:val="hi_IN" w:bidi="hi_IN"/>
        </w:rPr>
        <w:t>उन्होंने वाचा के समुदाय में सम्मिलित होने पर वयस्क पुरुषों का खतना किया (</w:t>
      </w:r>
      <w:r>
        <w:rPr>
          <w:lang w:val="hi_IN" w:bidi="hi_IN"/>
        </w:rPr>
        <w:t>उत 17:23–27</w:t>
      </w:r>
      <w:r>
        <w:rPr>
          <w:lang w:val="hi_IN" w:bidi="hi_IN"/>
        </w:rPr>
        <w:t xml:space="preserve">; </w:t>
      </w:r>
      <w:r>
        <w:rPr>
          <w:lang w:val="hi_IN" w:bidi="hi_IN"/>
        </w:rPr>
        <w:t>निर्ग 12:48</w:t>
      </w:r>
      <w:r>
        <w:rPr>
          <w:lang w:val="hi_IN" w:bidi="hi_IN"/>
        </w:rPr>
        <w:t xml:space="preserve">; </w:t>
      </w:r>
      <w:r>
        <w:rPr>
          <w:lang w:val="hi_IN" w:bidi="hi_IN"/>
        </w:rPr>
        <w:t>यहो 5:3–7</w:t>
      </w:r>
      <w:r>
        <w:rPr>
          <w:lang w:val="hi_IN" w:bidi="hi_IN"/>
        </w:rPr>
        <w:t>)। लेकिन यह सामान्यतः शिशुओं के लिए किया जाता था (</w:t>
      </w:r>
      <w:r>
        <w:rPr>
          <w:lang w:val="hi_IN" w:bidi="hi_IN"/>
        </w:rPr>
        <w:t>उत 21:4</w:t>
      </w:r>
      <w:r>
        <w:rPr>
          <w:lang w:val="hi_IN" w:bidi="hi_IN"/>
        </w:rPr>
        <w:t xml:space="preserve">; </w:t>
      </w:r>
      <w:r>
        <w:rPr>
          <w:lang w:val="hi_IN" w:bidi="hi_IN"/>
        </w:rPr>
        <w:t>लैव्य 12:3</w:t>
      </w:r>
      <w:r>
        <w:rPr>
          <w:lang w:val="hi_IN" w:bidi="hi_IN"/>
        </w:rPr>
        <w:t>)। शिशु परमेश्वर की प्रतिज्ञाओं को प्राप्त करते थे और वे अपने माता-पिता के द्वारा वाचा के समुदाय में सम्मिलित होते थे।</w:t>
      </w:r>
    </w:p>
    <w:p>
      <w:pPr/>
      <w:r>
        <w:rPr>
          <w:lang w:val="hi_IN" w:bidi="hi_IN"/>
        </w:rPr>
      </w:r>
      <w:r>
        <w:rPr>
          <w:lang w:val="hi_IN" w:bidi="hi_IN"/>
        </w:rPr>
        <w:t>परमेश्वर की आशीषें प्राप्त करने के लिए विश्वास आवश्यक था। यह इश्माएल और इसहाक, एसाव और याकूब तथा यूसुफ और उसके भाइयों के बीच मतभेद से प्रकट होता है। गैर-इस्राएली भी इस्राएल की वाचा में सम्मिलित हो सकते थे (</w:t>
      </w:r>
      <w:r>
        <w:rPr>
          <w:lang w:val="hi_IN" w:bidi="hi_IN"/>
        </w:rPr>
        <w:t>निर्ग 12:48</w:t>
      </w:r>
      <w:r>
        <w:rPr>
          <w:lang w:val="hi_IN" w:bidi="hi_IN"/>
        </w:rPr>
        <w:t xml:space="preserve">; तुलना करें </w:t>
      </w:r>
      <w:r>
        <w:rPr>
          <w:lang w:val="hi_IN" w:bidi="hi_IN"/>
        </w:rPr>
        <w:t>उत 34:15–24</w:t>
      </w:r>
      <w:r>
        <w:rPr>
          <w:lang w:val="hi_IN" w:bidi="hi_IN"/>
        </w:rPr>
        <w:t xml:space="preserve">)। खतना उनकी आराधना करनेवाले समाज में सम्मिलित होने की पहचान थी (उदाहरण के लिए, </w:t>
      </w:r>
      <w:r>
        <w:rPr>
          <w:lang w:val="hi_IN" w:bidi="hi_IN"/>
        </w:rPr>
        <w:t>निर्ग 12:44</w:t>
      </w:r>
      <w:r>
        <w:rPr>
          <w:lang w:val="hi_IN" w:bidi="hi_IN"/>
        </w:rPr>
        <w:t>)।</w:t>
      </w:r>
    </w:p>
    <w:p>
      <w:pPr/>
      <w:r>
        <w:rPr>
          <w:lang w:val="hi_IN" w:bidi="hi_IN"/>
        </w:rPr>
      </w:r>
      <w:r>
        <w:rPr>
          <w:lang w:val="hi_IN" w:bidi="hi_IN"/>
        </w:rPr>
        <w:t>खतना, इस्राएल को प्राकृतिक अशुद्धता से अलग रहने को स्मरण दिलाने में सहायता करता था। परमेश्वर के लोगों को वाचा, अपने परिवार और अपने विवाह के प्रति विश्वासयोग्य रहना था। वाचा के बाहर, बिना खतना किए हुए लोगों से विवाह करना वाचा का उल्लंघन था। जो पुरुष खतना (एक प्रतीकात्मक शारीरिक कट ) करवाने से इनकार करता था, उसे परमेश्वर की आज्ञा न मानने के कारण वाचा के लोगों में से निकाल दिया जाता था ("</w:t>
      </w:r>
      <w:r>
        <w:rPr>
          <w:i/>
          <w:lang w:val="hi_IN" w:bidi="hi_IN"/>
        </w:rPr>
        <w:t>नाश किया जाए"</w:t>
      </w:r>
      <w:r>
        <w:rPr>
          <w:lang w:val="hi_IN" w:bidi="hi_IN"/>
        </w:rPr>
        <w:t>) (</w:t>
      </w:r>
      <w:r>
        <w:rPr>
          <w:lang w:val="hi_IN" w:bidi="hi_IN"/>
        </w:rPr>
        <w:t>उत 17:14</w:t>
      </w:r>
      <w:r>
        <w:rPr>
          <w:lang w:val="hi_IN" w:bidi="hi_IN"/>
        </w:rPr>
        <w:t>)।</w:t>
      </w:r>
    </w:p>
    <w:p>
      <w:pPr/>
      <w:r>
        <w:rPr>
          <w:lang w:val="hi_IN" w:bidi="hi_IN"/>
        </w:rPr>
      </w:r>
      <w:r>
        <w:rPr>
          <w:lang w:val="hi_IN" w:bidi="hi_IN"/>
        </w:rPr>
        <w:t>खतना संसार से अलगाव, पवित्रता और वाचा के प्रति विश्वासयोग्यता का प्रतीक है। यह "हृदय के खतना" का एक प्रभावशाली रूपक प्रस्तुत करता है। इसका अर्थ है परमेश्वर के प्रति समर्पित हृदय जो उनके लिए अलग किया गया हो, न कि हठीला और विरोधी (</w:t>
      </w:r>
      <w:r>
        <w:rPr>
          <w:lang w:val="hi_IN" w:bidi="hi_IN"/>
        </w:rPr>
        <w:t>लैव्य 26:41</w:t>
      </w:r>
      <w:r>
        <w:rPr>
          <w:lang w:val="hi_IN" w:bidi="hi_IN"/>
        </w:rPr>
        <w:t xml:space="preserve">; </w:t>
      </w:r>
      <w:r>
        <w:rPr>
          <w:lang w:val="hi_IN" w:bidi="hi_IN"/>
        </w:rPr>
        <w:t>व्य.वि. 30:6</w:t>
      </w:r>
      <w:r>
        <w:rPr>
          <w:lang w:val="hi_IN" w:bidi="hi_IN"/>
        </w:rPr>
        <w:t xml:space="preserve">; </w:t>
      </w:r>
      <w:r>
        <w:rPr>
          <w:lang w:val="hi_IN" w:bidi="hi_IN"/>
        </w:rPr>
        <w:t>यिर्म 4:4</w:t>
      </w:r>
      <w:r>
        <w:rPr>
          <w:lang w:val="hi_IN" w:bidi="hi_IN"/>
        </w:rPr>
        <w:t xml:space="preserve">; </w:t>
      </w:r>
      <w:r>
        <w:rPr>
          <w:lang w:val="hi_IN" w:bidi="hi_IN"/>
        </w:rPr>
        <w:t>9:26</w:t>
      </w:r>
      <w:r>
        <w:rPr>
          <w:lang w:val="hi_IN" w:bidi="hi_IN"/>
        </w:rPr>
        <w:t xml:space="preserve">; </w:t>
      </w:r>
      <w:r>
        <w:rPr>
          <w:lang w:val="hi_IN" w:bidi="hi_IN"/>
        </w:rPr>
        <w:t>इफि 2:11</w:t>
      </w:r>
      <w:r>
        <w:rPr>
          <w:lang w:val="hi_IN" w:bidi="hi_IN"/>
        </w:rPr>
        <w:t xml:space="preserve">)। हृदय का खतना, उद्धार और परमेश्वर के साथ संगति को दर्शाता है (देखें </w:t>
      </w:r>
      <w:r>
        <w:rPr>
          <w:lang w:val="hi_IN" w:bidi="hi_IN"/>
        </w:rPr>
        <w:t>यहेज 18:31–32</w:t>
      </w:r>
      <w:r>
        <w:rPr>
          <w:lang w:val="hi_IN" w:bidi="hi_IN"/>
        </w:rPr>
        <w:t xml:space="preserve">; </w:t>
      </w:r>
      <w:r>
        <w:rPr>
          <w:lang w:val="hi_IN" w:bidi="hi_IN"/>
        </w:rPr>
        <w:t>36:25–27</w:t>
      </w:r>
      <w:r>
        <w:rPr>
          <w:lang w:val="hi_IN" w:bidi="hi_IN"/>
        </w:rPr>
        <w:t xml:space="preserve">; </w:t>
      </w:r>
      <w:r>
        <w:rPr>
          <w:lang w:val="hi_IN" w:bidi="hi_IN"/>
        </w:rPr>
        <w:t>रोम 2:28–29</w:t>
      </w:r>
      <w:r>
        <w:rPr>
          <w:lang w:val="hi_IN" w:bidi="hi_IN"/>
        </w:rPr>
        <w:t xml:space="preserve">; </w:t>
      </w:r>
      <w:r>
        <w:rPr>
          <w:lang w:val="hi_IN" w:bidi="hi_IN"/>
        </w:rPr>
        <w:t>4:11</w:t>
      </w:r>
      <w:r>
        <w:rPr>
          <w:lang w:val="hi_IN" w:bidi="hi_IN"/>
        </w:rPr>
        <w:t>)।</w:t>
      </w:r>
    </w:p>
    <w:p>
      <w:pPr/>
      <w:r>
        <w:rPr>
          <w:lang w:val="hi_IN" w:bidi="hi_IN"/>
        </w:rPr>
      </w:r>
      <w:r>
        <w:rPr>
          <w:lang w:val="hi_IN" w:bidi="hi_IN"/>
        </w:rPr>
        <w:t>जब यीशु मसीह ने परमेश्वर की नई वाचा स्थापित की, तब उन्होंने पुरानी वाचा की माँग को पूरी की। अन्यजाति मसीहियों को खतना करवाने की आवश्यकता नहीं है क्योंकि यीशु में विश्वास करने से वे परमेश्वर के लोगों का हिस्सा बन जाते हैं (</w:t>
      </w:r>
      <w:r>
        <w:rPr>
          <w:lang w:val="hi_IN" w:bidi="hi_IN"/>
        </w:rPr>
        <w:t>प्रेरि 15:1–29</w:t>
      </w:r>
      <w:r>
        <w:rPr>
          <w:lang w:val="hi_IN" w:bidi="hi_IN"/>
        </w:rPr>
        <w:t xml:space="preserve">; </w:t>
      </w:r>
      <w:r>
        <w:rPr>
          <w:lang w:val="hi_IN" w:bidi="hi_IN"/>
        </w:rPr>
        <w:t>रोम 2:25–29</w:t>
      </w:r>
      <w:r>
        <w:rPr>
          <w:lang w:val="hi_IN" w:bidi="hi_IN"/>
        </w:rPr>
        <w:t xml:space="preserve">; </w:t>
      </w:r>
      <w:r>
        <w:rPr>
          <w:lang w:val="hi_IN" w:bidi="hi_IN"/>
        </w:rPr>
        <w:t>गला 2:1–10</w:t>
      </w:r>
      <w:r>
        <w:rPr>
          <w:lang w:val="hi_IN" w:bidi="hi_IN"/>
        </w:rPr>
        <w:t xml:space="preserve">; </w:t>
      </w:r>
      <w:r>
        <w:rPr>
          <w:lang w:val="hi_IN" w:bidi="hi_IN"/>
        </w:rPr>
        <w:t>6:15</w:t>
      </w:r>
      <w:r>
        <w:rPr>
          <w:lang w:val="hi_IN" w:bidi="hi_IN"/>
        </w:rPr>
        <w:t xml:space="preserve">; </w:t>
      </w:r>
      <w:r>
        <w:rPr>
          <w:lang w:val="hi_IN" w:bidi="hi_IN"/>
        </w:rPr>
        <w:t>कुल 2:11–12</w:t>
      </w:r>
      <w:r>
        <w:rPr>
          <w:lang w:val="hi_IN" w:bidi="hi_IN"/>
        </w:rPr>
        <w:t xml:space="preserve">)। मनुष्य को परमेश्वर और उसकी प्रतिज्ञाओं पर भरोसा करना चाहिए, पापपूर्ण आचरण और सांसारिक प्रथा को त्यागना चाहिए और विश्वास के द्वारा एक नया जीवन जीना चाहिए (देखें </w:t>
      </w:r>
      <w:r>
        <w:rPr>
          <w:lang w:val="hi_IN" w:bidi="hi_IN"/>
        </w:rPr>
        <w:t>यिर्म 31:33–34</w:t>
      </w:r>
      <w:r>
        <w:rPr>
          <w:lang w:val="hi_IN" w:bidi="hi_IN"/>
        </w:rPr>
        <w:t xml:space="preserve">; </w:t>
      </w:r>
      <w:r>
        <w:rPr>
          <w:lang w:val="hi_IN" w:bidi="hi_IN"/>
        </w:rPr>
        <w:t>रोम 8:1–17</w:t>
      </w:r>
      <w:r>
        <w:rPr>
          <w:lang w:val="hi_IN" w:bidi="hi_IN"/>
        </w:rPr>
        <w:t xml:space="preserve">; </w:t>
      </w:r>
      <w:r>
        <w:rPr>
          <w:lang w:val="hi_IN" w:bidi="hi_IN"/>
        </w:rPr>
        <w:t>गला 5:16–6:10</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17:9–14</w:t>
      </w:r>
      <w:r>
        <w:rPr>
          <w:lang w:val="hi_IN" w:bidi="hi_IN"/>
        </w:rPr>
        <w:t xml:space="preserve">, </w:t>
      </w:r>
      <w:r>
        <w:rPr>
          <w:lang w:val="hi_IN" w:bidi="hi_IN"/>
        </w:rPr>
        <w:t>23–27</w:t>
      </w:r>
      <w:r>
        <w:rPr>
          <w:lang w:val="hi_IN" w:bidi="hi_IN"/>
        </w:rPr>
        <w:t xml:space="preserve">; </w:t>
      </w:r>
      <w:r>
        <w:rPr>
          <w:lang w:val="hi_IN" w:bidi="hi_IN"/>
        </w:rPr>
        <w:t>21:4</w:t>
      </w:r>
      <w:r>
        <w:rPr>
          <w:lang w:val="hi_IN" w:bidi="hi_IN"/>
        </w:rPr>
        <w:t xml:space="preserve">; </w:t>
      </w:r>
      <w:r>
        <w:rPr>
          <w:lang w:val="hi_IN" w:bidi="hi_IN"/>
        </w:rPr>
        <w:t>34:1–26</w:t>
      </w:r>
      <w:r>
        <w:rPr>
          <w:lang w:val="hi_IN" w:bidi="hi_IN"/>
        </w:rPr>
        <w:t xml:space="preserve">; </w:t>
      </w:r>
      <w:r>
        <w:rPr>
          <w:lang w:val="hi_IN" w:bidi="hi_IN"/>
        </w:rPr>
        <w:t>निर्गमन 4:24–26</w:t>
      </w:r>
      <w:r>
        <w:rPr>
          <w:lang w:val="hi_IN" w:bidi="hi_IN"/>
        </w:rPr>
        <w:t xml:space="preserve">; </w:t>
      </w:r>
      <w:r>
        <w:rPr>
          <w:lang w:val="hi_IN" w:bidi="hi_IN"/>
        </w:rPr>
        <w:t>12:48</w:t>
      </w:r>
      <w:r>
        <w:rPr>
          <w:lang w:val="hi_IN" w:bidi="hi_IN"/>
        </w:rPr>
        <w:t xml:space="preserve">; </w:t>
      </w:r>
      <w:r>
        <w:rPr>
          <w:lang w:val="hi_IN" w:bidi="hi_IN"/>
        </w:rPr>
        <w:t>लैव्यव्यवस्था 12:3</w:t>
      </w:r>
      <w:r>
        <w:rPr>
          <w:lang w:val="hi_IN" w:bidi="hi_IN"/>
        </w:rPr>
        <w:t xml:space="preserve">; </w:t>
      </w:r>
      <w:r>
        <w:rPr>
          <w:lang w:val="hi_IN" w:bidi="hi_IN"/>
        </w:rPr>
        <w:t>यहोशू 5:2–8</w:t>
      </w:r>
      <w:r>
        <w:rPr>
          <w:lang w:val="hi_IN" w:bidi="hi_IN"/>
        </w:rPr>
        <w:t xml:space="preserve">; </w:t>
      </w:r>
      <w:r>
        <w:rPr>
          <w:lang w:val="hi_IN" w:bidi="hi_IN"/>
        </w:rPr>
        <w:t>यिर्मयाह 9:25–26</w:t>
      </w:r>
      <w:r>
        <w:rPr>
          <w:lang w:val="hi_IN" w:bidi="hi_IN"/>
        </w:rPr>
        <w:t xml:space="preserve">; </w:t>
      </w:r>
      <w:r>
        <w:rPr>
          <w:lang w:val="hi_IN" w:bidi="hi_IN"/>
        </w:rPr>
        <w:t>यहेजकेल 44:7–9</w:t>
      </w:r>
      <w:r>
        <w:rPr>
          <w:lang w:val="hi_IN" w:bidi="hi_IN"/>
        </w:rPr>
        <w:t xml:space="preserve">; </w:t>
      </w:r>
      <w:r>
        <w:rPr>
          <w:lang w:val="hi_IN" w:bidi="hi_IN"/>
        </w:rPr>
        <w:t>लूका 1:59</w:t>
      </w:r>
      <w:r>
        <w:rPr>
          <w:lang w:val="hi_IN" w:bidi="hi_IN"/>
        </w:rPr>
        <w:t xml:space="preserve">; </w:t>
      </w:r>
      <w:r>
        <w:rPr>
          <w:lang w:val="hi_IN" w:bidi="hi_IN"/>
        </w:rPr>
        <w:t>2:21</w:t>
      </w:r>
      <w:r>
        <w:rPr>
          <w:lang w:val="hi_IN" w:bidi="hi_IN"/>
        </w:rPr>
        <w:t xml:space="preserve">; </w:t>
      </w:r>
      <w:r>
        <w:rPr>
          <w:lang w:val="hi_IN" w:bidi="hi_IN"/>
        </w:rPr>
        <w:t>प्रेरितों के काम 15:1–31</w:t>
      </w:r>
      <w:r>
        <w:rPr>
          <w:lang w:val="hi_IN" w:bidi="hi_IN"/>
        </w:rPr>
        <w:t xml:space="preserve">; </w:t>
      </w:r>
      <w:r>
        <w:rPr>
          <w:lang w:val="hi_IN" w:bidi="hi_IN"/>
        </w:rPr>
        <w:t>16:1–5</w:t>
      </w:r>
      <w:r>
        <w:rPr>
          <w:lang w:val="hi_IN" w:bidi="hi_IN"/>
        </w:rPr>
        <w:t xml:space="preserve">; </w:t>
      </w:r>
      <w:r>
        <w:rPr>
          <w:lang w:val="hi_IN" w:bidi="hi_IN"/>
        </w:rPr>
        <w:t>रोमियों 2:25–29</w:t>
      </w:r>
      <w:r>
        <w:rPr>
          <w:lang w:val="hi_IN" w:bidi="hi_IN"/>
        </w:rPr>
        <w:t xml:space="preserve">; </w:t>
      </w:r>
      <w:r>
        <w:rPr>
          <w:lang w:val="hi_IN" w:bidi="hi_IN"/>
        </w:rPr>
        <w:t>1 कुरिन्थियों 7:17–19</w:t>
      </w:r>
      <w:r>
        <w:rPr>
          <w:lang w:val="hi_IN" w:bidi="hi_IN"/>
        </w:rPr>
        <w:t xml:space="preserve">; </w:t>
      </w:r>
      <w:r>
        <w:rPr>
          <w:lang w:val="hi_IN" w:bidi="hi_IN"/>
        </w:rPr>
        <w:t>गलातियों 5:1–6</w:t>
      </w:r>
      <w:r>
        <w:rPr>
          <w:lang w:val="hi_IN" w:bidi="hi_IN"/>
        </w:rPr>
        <w:t xml:space="preserve">, </w:t>
      </w:r>
      <w:r>
        <w:rPr>
          <w:lang w:val="hi_IN" w:bidi="hi_IN"/>
        </w:rPr>
        <w:t>11–12</w:t>
      </w:r>
      <w:r>
        <w:rPr>
          <w:lang w:val="hi_IN" w:bidi="hi_IN"/>
        </w:rPr>
        <w:t xml:space="preserve">; </w:t>
      </w:r>
      <w:r>
        <w:rPr>
          <w:lang w:val="hi_IN" w:bidi="hi_IN"/>
        </w:rPr>
        <w:t>6:12–16</w:t>
      </w:r>
      <w:r>
        <w:rPr>
          <w:lang w:val="hi_IN" w:bidi="hi_IN"/>
        </w:rPr>
        <w:t xml:space="preserve">; </w:t>
      </w:r>
      <w:r>
        <w:rPr>
          <w:lang w:val="hi_IN" w:bidi="hi_IN"/>
        </w:rPr>
        <w:t>इफिसियों 2:11–18</w:t>
      </w:r>
      <w:r>
        <w:rPr>
          <w:lang w:val="hi_IN" w:bidi="hi_IN"/>
        </w:rPr>
        <w:t xml:space="preserve">; </w:t>
      </w:r>
      <w:r>
        <w:rPr>
          <w:lang w:val="hi_IN" w:bidi="hi_IN"/>
        </w:rPr>
        <w:t>फिलिप्पियों 3:2–7</w:t>
      </w:r>
      <w:r>
        <w:rPr>
          <w:lang w:val="hi_IN" w:bidi="hi_IN"/>
        </w:rPr>
        <w:t xml:space="preserve">; </w:t>
      </w:r>
      <w:r>
        <w:rPr>
          <w:lang w:val="hi_IN" w:bidi="hi_IN"/>
        </w:rPr>
        <w:t>कुलुस्सियों 2:11</w:t>
      </w:r>
      <w:r>
        <w:rPr>
          <w:lang w:val="hi_IN" w:bidi="hi_IN"/>
        </w:rPr>
        <w:t xml:space="preserve">; </w:t>
      </w:r>
      <w:r>
        <w:rPr>
          <w:lang w:val="hi_IN" w:bidi="hi_IN"/>
        </w:rPr>
        <w:t>3:11</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