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रंगमच और प्रकाशन</w:t>
      </w:r>
      <w:r>
        <w:rPr>
          <w:lang w:val="hi_IN" w:bidi="hi_IN"/>
        </w:rPr>
      </w:r>
    </w:p>
    <w:p>
      <w:pPr/>
      <w:r>
        <w:rPr>
          <w:lang w:val="hi_IN" w:bidi="hi_IN"/>
        </w:rPr>
      </w:r>
      <w:r>
        <w:rPr>
          <w:lang w:val="hi_IN" w:bidi="hi_IN"/>
        </w:rPr>
        <w:t xml:space="preserve">प्राचीन संसार में, रंगमच कहानी कहने का एक तरीका था जिसमें जीवंत प्रदर्शन, अभिनेता, दृश्य और नाटकीय प्रस्तुतियाँ शामिल थीं। प्राचीन प्रदर्शनों के काम करने के तरीके को समझना हमें </w:t>
      </w:r>
      <w:r>
        <w:rPr>
          <w:lang w:val="hi_IN" w:bidi="hi_IN"/>
        </w:rPr>
        <w:t>प्रकाशितवाक्य 4–5</w:t>
      </w:r>
      <w:r>
        <w:rPr>
          <w:lang w:val="hi_IN" w:bidi="hi_IN"/>
        </w:rPr>
        <w:t xml:space="preserve"> को समझने में सहायता कर सकता है। ये अध्याय एक ईश्वरीय नाटक (जैसे दृश्य और अभिनेताओं के साथ एक नाटक) का परिचय देते हैं और संसार के इतिहास में परमेश्वर के अभिकर्ता (मसीह) के महत्व को दिखाते हैं। यह अंश पाठक को पुस्तक के मुख्य सन्देश के लिए तैयार करता है, जो संसार, न्याय की वास्तविकता, और मेम्ने (यीशु) के माध्यम से आने वाली विजय के बारे में है। इन अध्यायों में, सन्देश को सम्प्रेषित करने के लिए दृश्यों की एक श्रृंखला (जैसे एक नाटक में) का उपयोग किया गया है।</w:t>
      </w:r>
    </w:p>
    <w:p>
      <w:pPr/>
      <w:r>
        <w:rPr>
          <w:lang w:val="hi_IN" w:bidi="hi_IN"/>
        </w:rPr>
      </w:r>
      <w:r>
        <w:rPr>
          <w:lang w:val="hi_IN" w:bidi="hi_IN"/>
        </w:rPr>
        <w:t xml:space="preserve">प्रकाशितवाक्य 4:1–3 </w:t>
      </w:r>
      <w:r>
        <w:rPr>
          <w:lang w:val="hi_IN" w:bidi="hi_IN"/>
        </w:rPr>
        <w:t>स्वर्गीय सिंहासन पर परमेश्वर का वर्णन करके आरम्भ होता है। प्राचीन रंगमंच में, एक व्यक्ति जो परमेश्वर का प्रतिनिधित्व करता था, मंच के ऊपर एक केन्द्रीय सन्दूक या सिंहासन पर बैठता था। यह अभिनेता प्रत्येक दृश्य के महत्व को दर्शकों को सकारात्मक और नकारात्मक टिप्पणियों के साथ समझाता था। या फिर वह उन समस्याओं का समाधान करता था जो पात्रों के लिए बहुत जटिल होती थीं। इसी प्रकार, प्रकाशितवाक्य के पाठकों को उन दृश्यों की तलाश करनी चाहिए जहाँ परमेश्वर या उनके दूत सन्देश को समझाने के लिए व्याख्या या हस्तक्षेप करते हैं।</w:t>
      </w:r>
    </w:p>
    <w:p>
      <w:pPr/>
      <w:r>
        <w:rPr>
          <w:lang w:val="hi_IN" w:bidi="hi_IN"/>
        </w:rPr>
      </w:r>
      <w:r>
        <w:rPr>
          <w:lang w:val="hi_IN" w:bidi="hi_IN"/>
        </w:rPr>
        <w:t>प्राचीन नाटक मंच पर ईश्वरीय आकृति के नीचे विकसित हुआ। मंच और दर्शकों के बीच, वक्ताओं का एक दल नाटक की भावनाओं को व्यक्त करता था। प्रकाशितवाक्य में, चार जीवित प्राणियों की एक समान भूमिका है (</w:t>
      </w:r>
      <w:r>
        <w:rPr>
          <w:lang w:val="hi_IN" w:bidi="hi_IN"/>
        </w:rPr>
        <w:t>प्रका 4:6–8</w:t>
      </w:r>
      <w:r>
        <w:rPr>
          <w:lang w:val="hi_IN" w:bidi="hi_IN"/>
        </w:rPr>
        <w:t>)।</w:t>
      </w:r>
    </w:p>
    <w:p>
      <w:pPr/>
      <w:r>
        <w:rPr>
          <w:lang w:val="hi_IN" w:bidi="hi_IN"/>
        </w:rPr>
      </w:r>
      <w:r>
        <w:rPr>
          <w:lang w:val="hi_IN" w:bidi="hi_IN"/>
        </w:rPr>
        <w:t>चौबीस प्राचीन पुराने और नए वाचाओं का प्रतिनिधित्व करते हैं (</w:t>
      </w:r>
      <w:r>
        <w:rPr>
          <w:lang w:val="hi_IN" w:bidi="hi_IN"/>
        </w:rPr>
        <w:t>4:4</w:t>
      </w:r>
      <w:r>
        <w:rPr>
          <w:lang w:val="hi_IN" w:bidi="hi_IN"/>
        </w:rPr>
        <w:t>)। ("पुरानी वाचा" उस समझौते को सन्दर्भित करती है जो परमेश्वर ने मूसा के माध्यम से इस्राएल के साथ किया था, जिसमें दस आज्ञाएँ और बाइबल की पहली पुस्तकों में दर्ज अन्य नियम शामिल थे। "नई वाचा" उस समझौते को सन्दर्भित करती है जो परमेश्वर ने यीशु मसीह के माध्यम से किया था, जिसे नया नियम पुराने वाचा को पूरा करने और परमेश्वर के साथ सम्बन्ध बनाने के नए तरीके के रूप में वर्णित करता है जो यीशु में विश्वास पर आधारित है।) चौबीस प्राचीन एक कोरस (गायक मंडली) की तरह कार्य करते हैं, जो बारी-बारी से बोलते हैं और इस महान नाटक की ऐतिहासिक पृष्ठभूमि प्रस्तुत करते हैं। वे इस महान नाटक के लिए ऐतिहासिक सन्दर्भ भी देते हैं। परमेश्वर इस नाटक की पटकथा प्रदान करते हैं, और केवल उनके विशेष प्रतिनिधि, "मेम्ना," इसे खोल सकता है, पढ़ सकता है, और प्रदर्शन कर सकता है (</w:t>
      </w:r>
      <w:r>
        <w:rPr>
          <w:lang w:val="hi_IN" w:bidi="hi_IN"/>
        </w:rPr>
        <w:t>5:1–5</w:t>
      </w:r>
      <w:r>
        <w:rPr>
          <w:lang w:val="hi_IN" w:bidi="hi_IN"/>
        </w:rPr>
        <w:t xml:space="preserve">; </w:t>
      </w:r>
      <w:r>
        <w:rPr>
          <w:lang w:val="hi_IN" w:bidi="hi_IN"/>
        </w:rPr>
        <w:t>6:1</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प्रकाशितवाक्य 4:1–5:14</w:t>
      </w:r>
      <w:r>
        <w:rPr>
          <w:lang w:val="hi_IN" w:bidi="hi_IN"/>
        </w:rPr>
      </w:r>
      <w:r>
        <w:rPr>
          <w:lang w:val="hi_IN" w:bidi="hi_IN"/>
        </w:rPr>
      </w:r>
    </w:p>
    <w:p>
      <w:pPr/>
      <w:r>
        <w:rPr>
          <w:lang w:val="hi_IN" w:bidi="hi_IN"/>
        </w:rPr>
      </w:r>
    </w:p>
    <w:p>
      <w:pPr>
        <w:pStyle w:val="Heading2"/>
      </w:pPr>
      <w:r>
        <w:rPr>
          <w:lang w:val="hi_IN" w:bidi="hi_IN"/>
        </w:rPr>
        <w:t>राज-वंश का वादा</w:t>
      </w:r>
      <w:r>
        <w:rPr>
          <w:lang w:val="hi_IN" w:bidi="hi_IN"/>
        </w:rPr>
      </w:r>
    </w:p>
    <w:p>
      <w:pPr/>
      <w:r>
        <w:rPr>
          <w:lang w:val="hi_IN" w:bidi="hi_IN"/>
        </w:rPr>
      </w:r>
      <w:r>
        <w:rPr>
          <w:lang w:val="hi_IN" w:bidi="hi_IN"/>
        </w:rPr>
        <w:t>परमेश्वर ने राजा दाऊद से यह प्रतिज्ञा की थी कि उनकी वंशावली सदा तक बनी रहेगी (</w:t>
      </w:r>
      <w:r>
        <w:rPr>
          <w:lang w:val="hi_IN" w:bidi="hi_IN"/>
        </w:rPr>
        <w:t>2 शमू 7:11–16</w:t>
      </w:r>
      <w:r>
        <w:rPr>
          <w:lang w:val="hi_IN" w:bidi="hi_IN"/>
        </w:rPr>
        <w:t xml:space="preserve"> और </w:t>
      </w:r>
      <w:r>
        <w:rPr>
          <w:lang w:val="hi_IN" w:bidi="hi_IN"/>
        </w:rPr>
        <w:t>1 इति 17:9–14</w:t>
      </w:r>
      <w:r>
        <w:rPr>
          <w:lang w:val="hi_IN" w:bidi="hi_IN"/>
        </w:rPr>
        <w:t xml:space="preserve"> में समानांतर अंश है)। फिर भी, इतिहास के लेखक (जिसे इतिहासकार कहा जाता है) उस समय जीवित थे जब दाऊद की वंशावली समाप्त होती हुई प्रतीत हो रही थी। यद्यपि दाऊद के वंशज जीवित थे, परन्तु यहूदा की बाबेल में बँधुआई के समय से, जो कि 150 वर्षों से अधिक पहले हुई थी, कोई भी वंशज राजा नहीं बना था (देखें </w:t>
      </w:r>
      <w:r>
        <w:rPr>
          <w:lang w:val="hi_IN" w:bidi="hi_IN"/>
        </w:rPr>
        <w:t>1 इति 3:1–24</w:t>
      </w:r>
      <w:r>
        <w:rPr>
          <w:lang w:val="hi_IN" w:bidi="hi_IN"/>
        </w:rPr>
        <w:t>)। इस परिस्थिति ने इस्राएल के भविष्य की आशा पर सन्देह उत्पन्न किया।</w:t>
      </w:r>
    </w:p>
    <w:p>
      <w:pPr/>
      <w:r>
        <w:rPr>
          <w:lang w:val="hi_IN" w:bidi="hi_IN"/>
        </w:rPr>
      </w:r>
      <w:r>
        <w:rPr>
          <w:lang w:val="hi_IN" w:bidi="hi_IN"/>
        </w:rPr>
        <w:t>इतिहासकार का उद्देश्य यह दिखाना था कि परमेश्वर की दाऊद से की गई प्रतिज्ञा बेशर्त थी और उनका सिंहासन सचमुच में "हमेशा के लिए सुरक्षित" है। यहाँ तक कि बँधुआई की सम्भावना भी परमेश्वर की उस प्रतिज्ञा की आशा को समाप्त नहीं करती, जो एक राजकीय वंशावली के विषय में है। यह प्रतिज्ञा भविष्य में भी पूरी होती रहेगी क्योंकि दाऊद का एक भविष्य का वंशज उस सिंहासन का उत्तराधिकारी होगा (</w:t>
      </w:r>
      <w:r>
        <w:rPr>
          <w:lang w:val="hi_IN" w:bidi="hi_IN"/>
        </w:rPr>
        <w:t>1 इति 17:11</w:t>
      </w:r>
      <w:r>
        <w:rPr>
          <w:lang w:val="hi_IN" w:bidi="hi_IN"/>
        </w:rPr>
        <w:t>)।</w:t>
      </w:r>
    </w:p>
    <w:p>
      <w:pPr/>
      <w:r>
        <w:rPr>
          <w:lang w:val="hi_IN" w:bidi="hi_IN"/>
        </w:rPr>
      </w:r>
      <w:r>
        <w:rPr>
          <w:lang w:val="hi_IN" w:bidi="hi_IN"/>
        </w:rPr>
        <w:t>इतिहासकार ने मसीहा के विषय में सीधे तौर पर शब्द के सख्त अर्थ में नहीं लिखा है। उनका मुख्य ध्यान परमेश्वर द्वारा चुने गए किसी छुड़ानेवाले के आगमन पर नहीं था। इसकी बजाय, वह आशा करते थे कि दाऊद की वंशावली से राजा फिर से वाचा के समुदाय की अगुवाई करेंगे (यानी इस्राएल के लोग, जो परमेश्वर के साथ विशेष वाचा में थे)। इतिहासकार ने समुदाय को इस आशा में उत्साहित किया कि एक नया राजा आएगा जो इस्राएल की दशा को सुधार देगा।</w:t>
      </w:r>
    </w:p>
    <w:p>
      <w:pPr/>
      <w:r>
        <w:rPr>
          <w:lang w:val="hi_IN" w:bidi="hi_IN"/>
        </w:rPr>
      </w:r>
      <w:r>
        <w:rPr>
          <w:lang w:val="hi_IN" w:bidi="hi_IN"/>
        </w:rPr>
        <w:t xml:space="preserve">यीशु का जन्म, दाऊद के पुत्र के रूप में, इस्राएल के लिए इतिहासकार की आशा को पूरा करता है। यीशु ने इतिहासकार की, नए राजा की आशा को पूरा किया (देखें </w:t>
      </w:r>
      <w:r>
        <w:rPr>
          <w:lang w:val="hi_IN" w:bidi="hi_IN"/>
        </w:rPr>
        <w:t>मत्ती 1:1–17</w:t>
      </w:r>
      <w:r>
        <w:rPr>
          <w:lang w:val="hi_IN" w:bidi="hi_IN"/>
        </w:rPr>
        <w:t>)। उनका राज्य जाति-जाति को शामिल करता है (</w:t>
      </w:r>
      <w:r>
        <w:rPr>
          <w:lang w:val="hi_IN" w:bidi="hi_IN"/>
        </w:rPr>
        <w:t>यशा 49:6</w:t>
      </w:r>
      <w:r>
        <w:rPr>
          <w:lang w:val="hi_IN" w:bidi="hi_IN"/>
        </w:rPr>
        <w:t>)। यह "समुद्र से समुद्र तक और महानद से पृथ्वी के दूर-दूर के देशों तक" फैला हुआ है (</w:t>
      </w:r>
      <w:r>
        <w:rPr>
          <w:lang w:val="hi_IN" w:bidi="hi_IN"/>
        </w:rPr>
        <w:t>जक 9:10</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49:8–12</w:t>
      </w:r>
      <w:r>
        <w:rPr>
          <w:lang w:val="hi_IN" w:bidi="hi_IN"/>
        </w:rPr>
        <w:t xml:space="preserve">; </w:t>
      </w:r>
      <w:r>
        <w:rPr>
          <w:lang w:val="hi_IN" w:bidi="hi_IN"/>
        </w:rPr>
        <w:t>1 इतिहास 5:1–2</w:t>
      </w:r>
      <w:r>
        <w:rPr>
          <w:lang w:val="hi_IN" w:bidi="hi_IN"/>
        </w:rPr>
        <w:t xml:space="preserve">; </w:t>
      </w:r>
      <w:r>
        <w:rPr>
          <w:lang w:val="hi_IN" w:bidi="hi_IN"/>
        </w:rPr>
        <w:t>17:1–15</w:t>
      </w:r>
      <w:r>
        <w:rPr>
          <w:lang w:val="hi_IN" w:bidi="hi_IN"/>
        </w:rPr>
        <w:t xml:space="preserve">; </w:t>
      </w:r>
      <w:r>
        <w:rPr>
          <w:lang w:val="hi_IN" w:bidi="hi_IN"/>
        </w:rPr>
        <w:t>22:6–13</w:t>
      </w:r>
      <w:r>
        <w:rPr>
          <w:lang w:val="hi_IN" w:bidi="hi_IN"/>
        </w:rPr>
        <w:t xml:space="preserve">; </w:t>
      </w:r>
      <w:r>
        <w:rPr>
          <w:lang w:val="hi_IN" w:bidi="hi_IN"/>
        </w:rPr>
        <w:t>28:4–7</w:t>
      </w:r>
      <w:r>
        <w:rPr>
          <w:lang w:val="hi_IN" w:bidi="hi_IN"/>
        </w:rPr>
        <w:t xml:space="preserve">; </w:t>
      </w:r>
      <w:r>
        <w:rPr>
          <w:lang w:val="hi_IN" w:bidi="hi_IN"/>
        </w:rPr>
        <w:t>भजन संहिता 78:67–72</w:t>
      </w:r>
      <w:r>
        <w:rPr>
          <w:lang w:val="hi_IN" w:bidi="hi_IN"/>
        </w:rPr>
        <w:t xml:space="preserve">; </w:t>
      </w:r>
      <w:r>
        <w:rPr>
          <w:lang w:val="hi_IN" w:bidi="hi_IN"/>
        </w:rPr>
        <w:t>132:11–12</w:t>
      </w:r>
      <w:r>
        <w:rPr>
          <w:lang w:val="hi_IN" w:bidi="hi_IN"/>
        </w:rPr>
        <w:t xml:space="preserve">; </w:t>
      </w:r>
      <w:r>
        <w:rPr>
          <w:lang w:val="hi_IN" w:bidi="hi_IN"/>
        </w:rPr>
        <w:t>आमोस 9:11–12</w:t>
      </w:r>
      <w:r>
        <w:rPr>
          <w:lang w:val="hi_IN" w:bidi="hi_IN"/>
        </w:rPr>
        <w:t xml:space="preserve">; </w:t>
      </w:r>
      <w:r>
        <w:rPr>
          <w:lang w:val="hi_IN" w:bidi="hi_IN"/>
        </w:rPr>
        <w:t>मत्ती 1:1–17</w:t>
      </w:r>
      <w:r>
        <w:rPr>
          <w:lang w:val="hi_IN" w:bidi="hi_IN"/>
        </w:rPr>
        <w:t xml:space="preserve">; </w:t>
      </w:r>
      <w:r>
        <w:rPr>
          <w:lang w:val="hi_IN" w:bidi="hi_IN"/>
        </w:rPr>
        <w:t>22:41–46</w:t>
      </w:r>
      <w:r>
        <w:rPr>
          <w:lang w:val="hi_IN" w:bidi="hi_IN"/>
        </w:rPr>
      </w:r>
      <w:r>
        <w:rPr>
          <w:lang w:val="hi_IN" w:bidi="hi_IN"/>
        </w:rPr>
      </w:r>
    </w:p>
    <w:p>
      <w:pPr/>
      <w:r>
        <w:rPr>
          <w:lang w:val="hi_IN" w:bidi="hi_IN"/>
        </w:rPr>
      </w:r>
    </w:p>
    <w:p>
      <w:pPr>
        <w:pStyle w:val="Heading2"/>
      </w:pPr>
      <w:r>
        <w:rPr>
          <w:lang w:val="hi_IN" w:bidi="hi_IN"/>
        </w:rPr>
        <w:t>राजशाही</w:t>
      </w:r>
      <w:r>
        <w:rPr>
          <w:lang w:val="hi_IN" w:bidi="hi_IN"/>
        </w:rPr>
      </w:r>
    </w:p>
    <w:p>
      <w:pPr/>
      <w:r>
        <w:rPr>
          <w:lang w:val="hi_IN" w:bidi="hi_IN"/>
        </w:rPr>
      </w:r>
      <w:r>
        <w:rPr>
          <w:lang w:val="hi_IN" w:bidi="hi_IN"/>
        </w:rPr>
        <w:t>इस्राएल एक राजा चाहता था जो "सभी अन्य जातियों की तरह" हो। शाऊल और दाऊद के समय तक, प्राचीन पश्चिमी एशिया में राजशाही लगभग दो हजार साल पुरानी थी। यह विशेष रूप से मिस्री और बाबेली साम्राज्यों में सत्य था। यहाँ तक कि छोटे राष्ट्र जैसे फिलिस्तिया, मोआब, और एदोम के पास भी स्थायी सरकारों और सेनाओं के साथ राजा थे। लोग मानते थे कि राजा देवताओं द्वारा मानव के मामलों पर शासन करने के लिए चुने जाते थे। राजा या तो देवताओं के लिए शासन करते थे या स्वयं देवता के रूप में माने जाते थे।</w:t>
      </w:r>
    </w:p>
    <w:p>
      <w:pPr/>
      <w:r>
        <w:rPr>
          <w:lang w:val="hi_IN" w:bidi="hi_IN"/>
        </w:rPr>
      </w:r>
      <w:r>
        <w:rPr>
          <w:lang w:val="hi_IN" w:bidi="hi_IN"/>
        </w:rPr>
        <w:t>इस्राएली अन्य जातियों की तरह बनना चाहते थे और उन्होंने राजा होने के दीर्घकालिक प्रभावों की अनदेखी की, भविष्यद्वक्ता शमूएल की चेतावनियों के बावजूद (</w:t>
      </w:r>
      <w:r>
        <w:rPr>
          <w:lang w:val="hi_IN" w:bidi="hi_IN"/>
        </w:rPr>
        <w:t>1 शमू 8:10–18</w:t>
      </w:r>
      <w:r>
        <w:rPr>
          <w:lang w:val="hi_IN" w:bidi="hi_IN"/>
        </w:rPr>
        <w:t xml:space="preserve">)। राजा होने के सैकड़ों वर्षों बाद शमूएल की बात सही साबित हुई। बुरे राजाओं ने परमेश्वर की चुनी हुई प्रजा को विदेशी नियन्त्रण और बँधुआई में धकेल दिया। फिर भी, परमेश्वर ने अपनी योजनाओं को पूरा करने के लिए राजतंत्र का उपयोग किया, क्योंकि उन्होंने दाऊद और उसकी पीढ़ी के माध्यम से मसीह (परमेश्वर के चुने हुए) को प्रदान किया, और एक अनन्त राज्य की स्थापना की (देखें </w:t>
      </w:r>
      <w:r>
        <w:rPr>
          <w:lang w:val="hi_IN" w:bidi="hi_IN"/>
        </w:rPr>
        <w:t>2 शमू 7:8–16</w:t>
      </w:r>
      <w:r>
        <w:rPr>
          <w:lang w:val="hi_IN" w:bidi="hi_IN"/>
        </w:rPr>
        <w:t xml:space="preserve">; </w:t>
      </w:r>
      <w:r>
        <w:rPr>
          <w:lang w:val="hi_IN" w:bidi="hi_IN"/>
        </w:rPr>
        <w:t>मत्ती 21:1–11</w:t>
      </w:r>
      <w:r>
        <w:rPr>
          <w:lang w:val="hi_IN" w:bidi="hi_IN"/>
        </w:rPr>
        <w:t xml:space="preserve">; </w:t>
      </w:r>
      <w:r>
        <w:rPr>
          <w:lang w:val="hi_IN" w:bidi="hi_IN"/>
        </w:rPr>
        <w:t>प्रका 5:5</w:t>
      </w:r>
      <w:r>
        <w:rPr>
          <w:lang w:val="hi_IN" w:bidi="hi_IN"/>
        </w:rPr>
        <w:t xml:space="preserve">; </w:t>
      </w:r>
      <w:r>
        <w:rPr>
          <w:lang w:val="hi_IN" w:bidi="hi_IN"/>
        </w:rPr>
        <w:t>11:15</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व्यवस्थाविवरण 17:14–20</w:t>
      </w:r>
      <w:r>
        <w:rPr>
          <w:lang w:val="hi_IN" w:bidi="hi_IN"/>
        </w:rPr>
        <w:t xml:space="preserve">; </w:t>
      </w:r>
      <w:r>
        <w:rPr>
          <w:lang w:val="hi_IN" w:bidi="hi_IN"/>
        </w:rPr>
        <w:t>33:5</w:t>
      </w:r>
      <w:r>
        <w:rPr>
          <w:lang w:val="hi_IN" w:bidi="hi_IN"/>
        </w:rPr>
        <w:t xml:space="preserve">; </w:t>
      </w:r>
      <w:r>
        <w:rPr>
          <w:lang w:val="hi_IN" w:bidi="hi_IN"/>
        </w:rPr>
        <w:t>न्यायियों 17:6</w:t>
      </w:r>
      <w:r>
        <w:rPr>
          <w:lang w:val="hi_IN" w:bidi="hi_IN"/>
        </w:rPr>
        <w:t xml:space="preserve">; </w:t>
      </w:r>
      <w:r>
        <w:rPr>
          <w:lang w:val="hi_IN" w:bidi="hi_IN"/>
        </w:rPr>
        <w:t>21:25</w:t>
      </w:r>
      <w:r>
        <w:rPr>
          <w:lang w:val="hi_IN" w:bidi="hi_IN"/>
        </w:rPr>
        <w:t xml:space="preserve">; </w:t>
      </w:r>
      <w:r>
        <w:rPr>
          <w:lang w:val="hi_IN" w:bidi="hi_IN"/>
        </w:rPr>
        <w:t>1 शमूएल 8:5–22</w:t>
      </w:r>
      <w:r>
        <w:rPr>
          <w:lang w:val="hi_IN" w:bidi="hi_IN"/>
        </w:rPr>
        <w:t xml:space="preserve">; </w:t>
      </w:r>
      <w:r>
        <w:rPr>
          <w:lang w:val="hi_IN" w:bidi="hi_IN"/>
        </w:rPr>
        <w:t>10:1</w:t>
      </w:r>
      <w:r>
        <w:rPr>
          <w:lang w:val="hi_IN" w:bidi="hi_IN"/>
        </w:rPr>
        <w:t xml:space="preserve">, </w:t>
      </w:r>
      <w:r>
        <w:rPr>
          <w:lang w:val="hi_IN" w:bidi="hi_IN"/>
        </w:rPr>
        <w:t>24–25</w:t>
      </w:r>
      <w:r>
        <w:rPr>
          <w:lang w:val="hi_IN" w:bidi="hi_IN"/>
        </w:rPr>
        <w:t xml:space="preserve">; </w:t>
      </w:r>
      <w:r>
        <w:rPr>
          <w:lang w:val="hi_IN" w:bidi="hi_IN"/>
        </w:rPr>
        <w:t>2 शमूएल 7:8–16</w:t>
      </w:r>
      <w:r>
        <w:rPr>
          <w:lang w:val="hi_IN" w:bidi="hi_IN"/>
        </w:rPr>
        <w:t xml:space="preserve">; </w:t>
      </w:r>
      <w:r>
        <w:rPr>
          <w:lang w:val="hi_IN" w:bidi="hi_IN"/>
        </w:rPr>
        <w:t>भजन संहिता 89:35–37</w:t>
      </w:r>
      <w:r>
        <w:rPr>
          <w:lang w:val="hi_IN" w:bidi="hi_IN"/>
        </w:rPr>
        <w:t xml:space="preserve">; </w:t>
      </w:r>
      <w:r>
        <w:rPr>
          <w:lang w:val="hi_IN" w:bidi="hi_IN"/>
        </w:rPr>
        <w:t>सभोपदेशक 8:2–5</w:t>
      </w:r>
      <w:r>
        <w:rPr>
          <w:lang w:val="hi_IN" w:bidi="hi_IN"/>
        </w:rPr>
        <w:t xml:space="preserve">; </w:t>
      </w:r>
      <w:r>
        <w:rPr>
          <w:lang w:val="hi_IN" w:bidi="hi_IN"/>
        </w:rPr>
        <w:t>यशायाह 33:22</w:t>
      </w:r>
      <w:r>
        <w:rPr>
          <w:lang w:val="hi_IN" w:bidi="hi_IN"/>
        </w:rPr>
        <w:t xml:space="preserve">; </w:t>
      </w:r>
      <w:r>
        <w:rPr>
          <w:lang w:val="hi_IN" w:bidi="hi_IN"/>
        </w:rPr>
        <w:t>मत्ती 21:1–11</w:t>
      </w:r>
      <w:r>
        <w:rPr>
          <w:lang w:val="hi_IN" w:bidi="hi_IN"/>
        </w:rPr>
        <w:t xml:space="preserve">; </w:t>
      </w:r>
      <w:r>
        <w:rPr>
          <w:lang w:val="hi_IN" w:bidi="hi_IN"/>
        </w:rPr>
        <w:t>22:42–46</w:t>
      </w:r>
      <w:r>
        <w:rPr>
          <w:lang w:val="hi_IN" w:bidi="hi_IN"/>
        </w:rPr>
        <w:t xml:space="preserve">; </w:t>
      </w:r>
      <w:r>
        <w:rPr>
          <w:lang w:val="hi_IN" w:bidi="hi_IN"/>
        </w:rPr>
        <w:t>27:11</w:t>
      </w:r>
      <w:r>
        <w:rPr>
          <w:lang w:val="hi_IN" w:bidi="hi_IN"/>
        </w:rPr>
        <w:t xml:space="preserve">; </w:t>
      </w:r>
      <w:r>
        <w:rPr>
          <w:lang w:val="hi_IN" w:bidi="hi_IN"/>
        </w:rPr>
        <w:t>1 तीमुथियुस 1:17</w:t>
      </w:r>
      <w:r>
        <w:rPr>
          <w:lang w:val="hi_IN" w:bidi="hi_IN"/>
        </w:rPr>
        <w:t xml:space="preserve">; </w:t>
      </w:r>
      <w:r>
        <w:rPr>
          <w:lang w:val="hi_IN" w:bidi="hi_IN"/>
        </w:rPr>
        <w:t>1 पतरस 2:13–14</w:t>
      </w:r>
      <w:r>
        <w:rPr>
          <w:lang w:val="hi_IN" w:bidi="hi_IN"/>
        </w:rPr>
        <w:t xml:space="preserve">; </w:t>
      </w:r>
      <w:r>
        <w:rPr>
          <w:lang w:val="hi_IN" w:bidi="hi_IN"/>
        </w:rPr>
        <w:t>प्रकाशितवाक्य 5:5</w:t>
      </w:r>
      <w:r>
        <w:rPr>
          <w:lang w:val="hi_IN" w:bidi="hi_IN"/>
        </w:rPr>
        <w:t xml:space="preserve">; </w:t>
      </w:r>
      <w:r>
        <w:rPr>
          <w:lang w:val="hi_IN" w:bidi="hi_IN"/>
        </w:rPr>
        <w:t>11:15</w:t>
      </w:r>
      <w:r>
        <w:rPr>
          <w:lang w:val="hi_IN" w:bidi="hi_IN"/>
        </w:rPr>
        <w:t xml:space="preserve">; </w:t>
      </w:r>
      <w:r>
        <w:rPr>
          <w:lang w:val="hi_IN" w:bidi="hi_IN"/>
        </w:rPr>
        <w:t>15:3</w:t>
      </w:r>
      <w:r>
        <w:rPr>
          <w:lang w:val="hi_IN" w:bidi="hi_IN"/>
        </w:rPr>
      </w:r>
      <w:r>
        <w:rPr>
          <w:lang w:val="hi_IN" w:bidi="hi_IN"/>
        </w:rPr>
      </w:r>
    </w:p>
    <w:p>
      <w:pPr/>
      <w:r>
        <w:rPr>
          <w:lang w:val="hi_IN" w:bidi="hi_IN"/>
        </w:rPr>
      </w:r>
    </w:p>
    <w:p>
      <w:pPr>
        <w:pStyle w:val="Heading2"/>
      </w:pPr>
      <w:r>
        <w:rPr>
          <w:lang w:val="hi_IN" w:bidi="hi_IN"/>
        </w:rPr>
        <w:t>राज्य में नागरिकता</w:t>
      </w:r>
      <w:r>
        <w:rPr>
          <w:lang w:val="hi_IN" w:bidi="hi_IN"/>
        </w:rPr>
      </w:r>
    </w:p>
    <w:p>
      <w:pPr/>
      <w:r>
        <w:rPr>
          <w:lang w:val="hi_IN" w:bidi="hi_IN"/>
        </w:rPr>
      </w:r>
      <w:r>
        <w:rPr>
          <w:lang w:val="hi_IN" w:bidi="hi_IN"/>
        </w:rPr>
        <w:t>पहली शताब्दी के यहूदी दाऊद के समान एक राजा या यहूदा मक्काबी के समान एक अगुआ चाहते थे, जो उनके उपद्रवियों को पराजित करे। परन्तु परमेश्वर के राज्य के विषय में यीशु के विचार इन आशाओं से बहुत भिन्न था (</w:t>
      </w:r>
      <w:r>
        <w:rPr>
          <w:lang w:val="hi_IN" w:bidi="hi_IN"/>
        </w:rPr>
        <w:t>मत्ती 5:43–48</w:t>
      </w:r>
      <w:r>
        <w:rPr>
          <w:lang w:val="hi_IN" w:bidi="hi_IN"/>
        </w:rPr>
        <w:t>)।</w:t>
      </w:r>
    </w:p>
    <w:p>
      <w:pPr/>
      <w:r>
        <w:rPr>
          <w:lang w:val="hi_IN" w:bidi="hi_IN"/>
        </w:rPr>
      </w:r>
      <w:r>
        <w:rPr>
          <w:lang w:val="hi_IN" w:bidi="hi_IN"/>
        </w:rPr>
        <w:t>मत्ती का सुसमाचार यीशु को एक अद्वितीय गुरु के रूप में प्रस्तुत करता है और पहाड़ी उपदेश उनकी सबसे लम्बी और प्रसिद्ध शिक्षा है। यह केवल सही और गलत के विषय में यीशु की शिक्षाओं का एक संग्रह नहीं है। यह स्वर्ग के राज्य में एक नागरिक के रूप में जीवन जीने के लिए एक मार्गदर्शिका है।</w:t>
      </w:r>
    </w:p>
    <w:p>
      <w:pPr/>
      <w:r>
        <w:rPr>
          <w:lang w:val="hi_IN" w:bidi="hi_IN"/>
        </w:rPr>
      </w:r>
      <w:r>
        <w:rPr>
          <w:lang w:val="hi_IN" w:bidi="hi_IN"/>
        </w:rPr>
        <w:t>यीशु ने स्वर्ग के राज्य का वर्णन इस प्रकार किया:</w:t>
      </w:r>
    </w:p>
    <w:p>
      <w:pPr>
        <w:pStyle w:val="ListNumber"/>
        <w:numPr>
          <w:ilvl w:val="0"/>
          <w:numId w:val="14"/>
        </w:numPr>
        <w:spacing w:line="240" w:lineRule="auto"/>
        <w:ind w:left="720"/>
      </w:pPr>
      <w:r>
        <w:rPr>
          <w:lang w:val="hi_IN" w:bidi="hi_IN"/>
        </w:rPr>
      </w:r>
      <w:r>
        <w:rPr>
          <w:lang w:val="hi_IN" w:bidi="hi_IN"/>
        </w:rPr>
        <w:t>परमेश्वर के साथ एक सम्बंध।</w:t>
      </w:r>
    </w:p>
    <w:p>
      <w:pPr>
        <w:pStyle w:val="ListNumber"/>
        <w:spacing w:line="240" w:lineRule="auto"/>
        <w:ind w:left="720"/>
      </w:pPr>
      <w:r>
        <w:rPr>
          <w:lang w:val="hi_IN" w:bidi="hi_IN"/>
        </w:rPr>
      </w:r>
      <w:r>
        <w:rPr>
          <w:lang w:val="hi_IN" w:bidi="hi_IN"/>
        </w:rPr>
        <w:t>हृदय का परिवर्तन।</w:t>
      </w:r>
    </w:p>
    <w:p>
      <w:pPr>
        <w:pStyle w:val="ListNumber"/>
        <w:spacing w:line="240" w:lineRule="auto"/>
        <w:ind w:left="720"/>
      </w:pPr>
      <w:r>
        <w:rPr>
          <w:lang w:val="hi_IN" w:bidi="hi_IN"/>
        </w:rPr>
      </w:r>
      <w:r>
        <w:rPr>
          <w:lang w:val="hi_IN" w:bidi="hi_IN"/>
        </w:rPr>
        <w:t>अन्य लोगों के साथ सम्बंध।</w:t>
      </w:r>
    </w:p>
    <w:p>
      <w:pPr/>
      <w:r>
        <w:rPr>
          <w:lang w:val="hi_IN" w:bidi="hi_IN"/>
        </w:rPr>
      </w:r>
      <w:r>
        <w:rPr>
          <w:lang w:val="hi_IN" w:bidi="hi_IN"/>
        </w:rPr>
        <w:t>राज्य के इस नए संदेश का यीशु को सुननेवाले लोगों पर गहरा प्रभाव पड़ा (</w:t>
      </w:r>
      <w:r>
        <w:rPr>
          <w:lang w:val="hi_IN" w:bidi="hi_IN"/>
        </w:rPr>
        <w:t>मत्ती 7:28–29</w:t>
      </w:r>
      <w:r>
        <w:rPr>
          <w:lang w:val="hi_IN" w:bidi="hi_IN"/>
        </w:rPr>
        <w:t>)।</w:t>
      </w:r>
    </w:p>
    <w:p>
      <w:pPr/>
      <w:r>
        <w:rPr>
          <w:lang w:val="hi_IN" w:bidi="hi_IN"/>
        </w:rPr>
      </w:r>
      <w:r>
        <w:rPr>
          <w:lang w:val="hi_IN" w:bidi="hi_IN"/>
        </w:rPr>
        <w:t>लोग प्रायः इन तीन क्षेत्रों के बीच स्पष्ट भेद करते हैं, परन्तु ये सभी सदैव विद्यमान रहते हैं। उदाहरण के लिए, यीशु की नम्रता की शिक्षा प्रारम्भ में आन्तरिक प्रतीत होती है, परन्तु यह परमेश्वर और अन्य लोगों के प्रति हमारी मनोभावना को भी शामिल करती है (</w:t>
      </w:r>
      <w:r>
        <w:rPr>
          <w:lang w:val="hi_IN" w:bidi="hi_IN"/>
        </w:rPr>
        <w:t>मत्ती 5:5</w:t>
      </w:r>
      <w:r>
        <w:rPr>
          <w:lang w:val="hi_IN" w:bidi="hi_IN"/>
        </w:rPr>
        <w:t>)। दुष्ट व्यक्ति का विरोध न करने की आज्ञा बाहरी रूप से केन्द्रित लगती है (</w:t>
      </w:r>
      <w:r>
        <w:rPr>
          <w:lang w:val="hi_IN" w:bidi="hi_IN"/>
        </w:rPr>
        <w:t>5:39</w:t>
      </w:r>
      <w:r>
        <w:rPr>
          <w:lang w:val="hi_IN" w:bidi="hi_IN"/>
        </w:rPr>
        <w:t>)। परन्तु इसके लिए परमेश्वर में सक्रिय विश्वास और आन्तरिक सामर्थ्य की आवश्यकता होती है। यीशु का प्रार्थना पर निर्देश मुख्यतः परमेश्वर के साथ हमारे सम्बंध से सम्बन्धित है (</w:t>
      </w:r>
      <w:r>
        <w:rPr>
          <w:lang w:val="hi_IN" w:bidi="hi_IN"/>
        </w:rPr>
        <w:t>6:5–15</w:t>
      </w:r>
      <w:r>
        <w:rPr>
          <w:lang w:val="hi_IN" w:bidi="hi_IN"/>
        </w:rPr>
        <w:t>)। परन्तु प्रार्थना यह समझने से आरम्भ होती है कि आपको परमेश्वर की सहायता की आवश्यकता है। यह प्रायः अन्य लोगों के साथ आपके सम्बन्धों को भी शामिल करती है।</w:t>
      </w:r>
    </w:p>
    <w:p>
      <w:pPr/>
      <w:r>
        <w:rPr>
          <w:lang w:val="hi_IN" w:bidi="hi_IN"/>
        </w:rPr>
      </w:r>
      <w:r>
        <w:rPr>
          <w:lang w:val="hi_IN" w:bidi="hi_IN"/>
        </w:rPr>
        <w:t>स्वर्ग के राज्य का नागरिक बनने के लिए, आपको यीशु का अनुसरण करना होगा और परमेश्वर-केन्द्रित जीवन जीना होगा, न कि आत्म-केन्द्रित जीवन। अपने बल पर धार्मिक बनने का प्रयास करना आपको अंधकार में रखता है क्योंकि यह अब भी आत्म-केन्द्रित ही रहता है। यीशु सच्ची धार्मिकता की माँग करते हैं, जो स्वयं परमेश्वर की धार्मिकता है (</w:t>
      </w:r>
      <w:r>
        <w:rPr>
          <w:lang w:val="hi_IN" w:bidi="hi_IN"/>
        </w:rPr>
        <w:t>मत्ती 5:20</w:t>
      </w:r>
      <w:r>
        <w:rPr>
          <w:lang w:val="hi_IN" w:bidi="hi_IN"/>
        </w:rPr>
        <w:t xml:space="preserve">, </w:t>
      </w:r>
      <w:r>
        <w:rPr>
          <w:lang w:val="hi_IN" w:bidi="hi_IN"/>
        </w:rPr>
        <w:t>48</w:t>
      </w:r>
      <w:r>
        <w:rPr>
          <w:lang w:val="hi_IN" w:bidi="hi_IN"/>
        </w:rPr>
        <w:t>)। इस धार्मिकता को आप अपने बल पर प्राप्त नहीं कर सकते। यीशु इसे उन लोगों को प्रदान करते हैं जो उनका अनुसरण करते हैं।</w:t>
      </w:r>
    </w:p>
    <w:p>
      <w:pPr/>
      <w:r>
        <w:rPr>
          <w:lang w:val="hi_IN" w:bidi="hi_IN"/>
        </w:rPr>
      </w:r>
      <w:r>
        <w:rPr>
          <w:u w:val="single"/>
          <w:lang w:val="hi_IN" w:bidi="hi_IN"/>
        </w:rPr>
        <w:t>अधिक अध्ययन के लिए अंश</w:t>
      </w:r>
    </w:p>
    <w:p>
      <w:pPr/>
      <w:r>
        <w:rPr>
          <w:lang w:val="hi_IN" w:bidi="hi_IN"/>
        </w:rPr>
      </w:r>
      <w:r>
        <w:rPr>
          <w:lang w:val="hi_IN" w:bidi="hi_IN"/>
        </w:rPr>
        <w:t>मत्ती 7:24–29</w:t>
      </w:r>
      <w:r>
        <w:rPr>
          <w:lang w:val="hi_IN" w:bidi="hi_IN"/>
        </w:rPr>
        <w:t xml:space="preserve">; </w:t>
      </w:r>
      <w:r>
        <w:rPr>
          <w:lang w:val="hi_IN" w:bidi="hi_IN"/>
        </w:rPr>
        <w:t>13:1–52</w:t>
      </w:r>
      <w:r>
        <w:rPr>
          <w:lang w:val="hi_IN" w:bidi="hi_IN"/>
        </w:rPr>
        <w:t xml:space="preserve">; </w:t>
      </w:r>
      <w:r>
        <w:rPr>
          <w:lang w:val="hi_IN" w:bidi="hi_IN"/>
        </w:rPr>
        <w:t>मरकुस 10:14–16</w:t>
      </w:r>
      <w:r>
        <w:rPr>
          <w:lang w:val="hi_IN" w:bidi="hi_IN"/>
        </w:rPr>
        <w:t xml:space="preserve">; </w:t>
      </w:r>
      <w:r>
        <w:rPr>
          <w:lang w:val="hi_IN" w:bidi="hi_IN"/>
        </w:rPr>
        <w:t>लूका 8:1–3</w:t>
      </w:r>
      <w:r>
        <w:rPr>
          <w:lang w:val="hi_IN" w:bidi="hi_IN"/>
        </w:rPr>
        <w:t xml:space="preserve">; </w:t>
      </w:r>
      <w:r>
        <w:rPr>
          <w:lang w:val="hi_IN" w:bidi="hi_IN"/>
        </w:rPr>
        <w:t>9:1–6</w:t>
      </w:r>
      <w:r>
        <w:rPr>
          <w:lang w:val="hi_IN" w:bidi="hi_IN"/>
        </w:rPr>
        <w:t xml:space="preserve">; </w:t>
      </w:r>
      <w:r>
        <w:rPr>
          <w:lang w:val="hi_IN" w:bidi="hi_IN"/>
        </w:rPr>
        <w:t>यूहन्ना 3:1–21</w:t>
      </w:r>
      <w:r>
        <w:rPr>
          <w:lang w:val="hi_IN" w:bidi="hi_IN"/>
        </w:rPr>
        <w:t xml:space="preserve">; </w:t>
      </w:r>
      <w:r>
        <w:rPr>
          <w:lang w:val="hi_IN" w:bidi="hi_IN"/>
        </w:rPr>
        <w:t>प्रेरितों के काम 8:12</w:t>
      </w:r>
      <w:r>
        <w:rPr>
          <w:lang w:val="hi_IN" w:bidi="hi_IN"/>
        </w:rPr>
        <w:t xml:space="preserve">; </w:t>
      </w:r>
      <w:r>
        <w:rPr>
          <w:lang w:val="hi_IN" w:bidi="hi_IN"/>
        </w:rPr>
        <w:t>28:23–31</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